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8367" w14:textId="29C02FE3" w:rsidR="00512B6E" w:rsidRDefault="00D2786E" w:rsidP="00512B6E">
      <w:pPr>
        <w:shd w:val="clear" w:color="auto" w:fill="FFFFFF" w:themeFill="background1"/>
        <w:ind w:firstLine="720"/>
        <w:jc w:val="center"/>
        <w:rPr>
          <w:rFonts w:asciiTheme="majorHAnsi" w:hAnsiTheme="majorHAnsi" w:cstheme="majorHAnsi"/>
          <w:b/>
          <w:bCs/>
          <w:color w:val="222222"/>
          <w:sz w:val="22"/>
          <w:szCs w:val="22"/>
          <w:lang w:val="en-GB"/>
        </w:rPr>
      </w:pPr>
      <w:r w:rsidRPr="00512B6E">
        <w:rPr>
          <w:rFonts w:asciiTheme="majorHAnsi" w:hAnsiTheme="majorHAnsi" w:cstheme="majorHAnsi"/>
          <w:b/>
          <w:bCs/>
          <w:color w:val="222222"/>
          <w:sz w:val="22"/>
          <w:szCs w:val="22"/>
          <w:lang w:val="en-GB"/>
        </w:rPr>
        <w:t xml:space="preserve">Delivering on domestic inequality </w:t>
      </w:r>
      <w:r w:rsidR="00512B6E">
        <w:rPr>
          <w:rFonts w:asciiTheme="majorHAnsi" w:hAnsiTheme="majorHAnsi" w:cstheme="majorHAnsi"/>
          <w:b/>
          <w:bCs/>
          <w:color w:val="222222"/>
          <w:sz w:val="22"/>
          <w:szCs w:val="22"/>
          <w:lang w:val="en-GB"/>
        </w:rPr>
        <w:t xml:space="preserve">reduction: </w:t>
      </w:r>
    </w:p>
    <w:p w14:paraId="5F916799" w14:textId="37CC377A" w:rsidR="00A0408B" w:rsidRPr="00512B6E" w:rsidRDefault="00512B6E" w:rsidP="00512B6E">
      <w:pPr>
        <w:shd w:val="clear" w:color="auto" w:fill="FFFFFF" w:themeFill="background1"/>
        <w:ind w:firstLine="720"/>
        <w:jc w:val="center"/>
        <w:rPr>
          <w:rFonts w:asciiTheme="majorHAnsi" w:hAnsiTheme="majorHAnsi" w:cstheme="majorHAnsi"/>
          <w:b/>
          <w:bCs/>
          <w:color w:val="222222"/>
          <w:sz w:val="22"/>
          <w:szCs w:val="22"/>
          <w:lang w:val="en-GB"/>
        </w:rPr>
      </w:pPr>
      <w:r>
        <w:rPr>
          <w:rFonts w:asciiTheme="majorHAnsi" w:hAnsiTheme="majorHAnsi" w:cstheme="majorHAnsi"/>
          <w:b/>
          <w:bCs/>
          <w:color w:val="222222"/>
          <w:sz w:val="22"/>
          <w:szCs w:val="22"/>
          <w:lang w:val="en-GB"/>
        </w:rPr>
        <w:t>Why and how SDG 10 can help</w:t>
      </w:r>
    </w:p>
    <w:p w14:paraId="710F6B35" w14:textId="77777777" w:rsidR="00F15D05" w:rsidRPr="00512B6E" w:rsidRDefault="00F15D05" w:rsidP="00C01041">
      <w:pPr>
        <w:shd w:val="clear" w:color="auto" w:fill="FFFFFF"/>
        <w:jc w:val="both"/>
        <w:rPr>
          <w:rFonts w:asciiTheme="majorHAnsi" w:hAnsiTheme="majorHAnsi" w:cstheme="majorHAnsi"/>
          <w:b/>
          <w:color w:val="222222"/>
          <w:sz w:val="22"/>
          <w:szCs w:val="22"/>
          <w:lang w:val="en-GB"/>
        </w:rPr>
      </w:pPr>
    </w:p>
    <w:p w14:paraId="7B229FC8" w14:textId="77777777" w:rsidR="00B018E5" w:rsidRPr="00512B6E" w:rsidRDefault="00B018E5" w:rsidP="006C2C9E">
      <w:pPr>
        <w:shd w:val="clear" w:color="auto" w:fill="FFFFFF"/>
        <w:jc w:val="both"/>
        <w:rPr>
          <w:rFonts w:asciiTheme="majorHAnsi" w:hAnsiTheme="majorHAnsi" w:cstheme="majorHAnsi"/>
          <w:b/>
          <w:color w:val="222222"/>
          <w:sz w:val="22"/>
          <w:szCs w:val="22"/>
          <w:lang w:val="en-GB"/>
        </w:rPr>
      </w:pPr>
    </w:p>
    <w:p w14:paraId="2368051A" w14:textId="77777777" w:rsidR="00B018E5" w:rsidRPr="00512B6E" w:rsidRDefault="00B018E5" w:rsidP="006C2C9E">
      <w:pPr>
        <w:shd w:val="clear" w:color="auto" w:fill="FFFFFF"/>
        <w:jc w:val="both"/>
        <w:rPr>
          <w:rFonts w:asciiTheme="majorHAnsi" w:hAnsiTheme="majorHAnsi" w:cstheme="majorHAnsi"/>
          <w:color w:val="222222"/>
          <w:sz w:val="22"/>
          <w:szCs w:val="22"/>
          <w:lang w:val="en-GB"/>
        </w:rPr>
      </w:pPr>
    </w:p>
    <w:p w14:paraId="4DC0234F" w14:textId="6A773810" w:rsidR="008530E1" w:rsidRPr="00512B6E" w:rsidRDefault="008530E1" w:rsidP="008530E1">
      <w:pP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 xml:space="preserve">Lucas Chancel </w:t>
      </w:r>
    </w:p>
    <w:p w14:paraId="63B10591" w14:textId="282CBFD9" w:rsidR="008530E1" w:rsidRPr="00512B6E" w:rsidRDefault="008530E1" w:rsidP="008530E1">
      <w:pP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 xml:space="preserve">Affiliations: 1. World Inequality Lab at the Paris School of Economics (PSE). 2. Institute for Sustainable Development and International Relations (IDDRI). </w:t>
      </w:r>
    </w:p>
    <w:p w14:paraId="21D494D2" w14:textId="679BB2F5" w:rsidR="008530E1" w:rsidRDefault="008530E1" w:rsidP="008530E1">
      <w:pPr>
        <w:rPr>
          <w:rFonts w:asciiTheme="majorHAnsi" w:hAnsiTheme="majorHAnsi" w:cstheme="majorHAnsi"/>
          <w:color w:val="222222"/>
          <w:sz w:val="22"/>
          <w:szCs w:val="22"/>
          <w:lang w:val="en-GB"/>
        </w:rPr>
      </w:pPr>
    </w:p>
    <w:p w14:paraId="74703D05" w14:textId="77777777" w:rsidR="00512B6E" w:rsidRPr="00512B6E" w:rsidRDefault="00512B6E" w:rsidP="00512B6E">
      <w:pPr>
        <w:rPr>
          <w:rFonts w:asciiTheme="majorHAnsi" w:hAnsiTheme="majorHAnsi" w:cstheme="majorHAnsi"/>
          <w:sz w:val="22"/>
          <w:szCs w:val="22"/>
        </w:rPr>
      </w:pPr>
      <w:r w:rsidRPr="00512B6E">
        <w:rPr>
          <w:rFonts w:asciiTheme="majorHAnsi" w:hAnsiTheme="majorHAnsi" w:cstheme="majorHAnsi"/>
          <w:sz w:val="22"/>
          <w:szCs w:val="22"/>
        </w:rPr>
        <w:t xml:space="preserve">Lucas Chancel is Co-Director of the World Inequality Lab at the Paris School of Economics and Senior Research Fellow at the Institute for Sustainable Development and International Relations. He also teaches at Sciences Po. </w:t>
      </w:r>
    </w:p>
    <w:p w14:paraId="10E1EF17" w14:textId="77777777" w:rsidR="00512B6E" w:rsidRPr="00512B6E" w:rsidRDefault="00512B6E" w:rsidP="00512B6E">
      <w:pPr>
        <w:rPr>
          <w:rFonts w:asciiTheme="majorHAnsi" w:hAnsiTheme="majorHAnsi" w:cstheme="majorHAnsi"/>
          <w:sz w:val="22"/>
          <w:szCs w:val="22"/>
        </w:rPr>
      </w:pPr>
    </w:p>
    <w:p w14:paraId="7BA591E4" w14:textId="77777777" w:rsidR="00512B6E" w:rsidRPr="00512B6E" w:rsidRDefault="00512B6E" w:rsidP="00512B6E">
      <w:pP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Tancrède Voituriez</w:t>
      </w:r>
    </w:p>
    <w:p w14:paraId="19DAD662" w14:textId="77777777" w:rsidR="00512B6E" w:rsidRPr="00512B6E" w:rsidRDefault="00512B6E" w:rsidP="00512B6E">
      <w:pP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 xml:space="preserve">Affiliations: 1. </w:t>
      </w:r>
      <w:bookmarkStart w:id="0" w:name="_GoBack"/>
      <w:bookmarkEnd w:id="0"/>
      <w:r w:rsidRPr="00512B6E">
        <w:rPr>
          <w:rFonts w:asciiTheme="majorHAnsi" w:hAnsiTheme="majorHAnsi" w:cstheme="majorHAnsi"/>
          <w:color w:val="222222"/>
          <w:sz w:val="22"/>
          <w:szCs w:val="22"/>
          <w:lang w:val="en-GB"/>
        </w:rPr>
        <w:t>Institute for Sustainable Development and International Relations (IDDRI). 2. French Agricultural Research Centre for International Development (CIRAD).</w:t>
      </w:r>
    </w:p>
    <w:p w14:paraId="383FB3F2" w14:textId="77777777" w:rsidR="00512B6E" w:rsidRPr="00512B6E" w:rsidRDefault="00512B6E" w:rsidP="00512B6E">
      <w:pPr>
        <w:rPr>
          <w:rFonts w:asciiTheme="majorHAnsi" w:hAnsiTheme="majorHAnsi" w:cstheme="majorHAnsi"/>
          <w:sz w:val="22"/>
          <w:szCs w:val="22"/>
          <w:lang w:val="en-GB"/>
        </w:rPr>
      </w:pPr>
    </w:p>
    <w:p w14:paraId="7EE7111E" w14:textId="77777777" w:rsidR="00512B6E" w:rsidRPr="00512B6E" w:rsidRDefault="00512B6E" w:rsidP="00512B6E">
      <w:pPr>
        <w:rPr>
          <w:rFonts w:asciiTheme="majorHAnsi" w:hAnsiTheme="majorHAnsi" w:cstheme="majorHAnsi"/>
          <w:sz w:val="22"/>
          <w:szCs w:val="22"/>
        </w:rPr>
      </w:pPr>
      <w:r w:rsidRPr="00512B6E">
        <w:rPr>
          <w:rFonts w:asciiTheme="majorHAnsi" w:hAnsiTheme="majorHAnsi" w:cstheme="majorHAnsi"/>
          <w:sz w:val="22"/>
          <w:szCs w:val="22"/>
        </w:rPr>
        <w:t xml:space="preserve">Tancrède Voituriez is director of the Governance Program at the Institute for Sustainable Development and International Relations and senior research fellow at the </w:t>
      </w:r>
      <w:r w:rsidRPr="00512B6E">
        <w:rPr>
          <w:rFonts w:asciiTheme="majorHAnsi" w:hAnsiTheme="majorHAnsi" w:cstheme="majorHAnsi"/>
          <w:color w:val="222222"/>
          <w:sz w:val="22"/>
          <w:szCs w:val="22"/>
          <w:lang w:val="en-GB"/>
        </w:rPr>
        <w:t>French Agricultural Research Centre for International Development</w:t>
      </w:r>
      <w:r w:rsidRPr="00512B6E">
        <w:rPr>
          <w:rFonts w:asciiTheme="majorHAnsi" w:hAnsiTheme="majorHAnsi" w:cstheme="majorHAnsi"/>
          <w:sz w:val="22"/>
          <w:szCs w:val="22"/>
        </w:rPr>
        <w:t xml:space="preserve">. He also teaches at Sciences Po. </w:t>
      </w:r>
    </w:p>
    <w:p w14:paraId="0188B3AC" w14:textId="77777777" w:rsidR="00512B6E" w:rsidRPr="00512B6E" w:rsidRDefault="00512B6E" w:rsidP="00512B6E">
      <w:pPr>
        <w:rPr>
          <w:rFonts w:asciiTheme="majorHAnsi" w:hAnsiTheme="majorHAnsi" w:cstheme="majorHAnsi"/>
          <w:sz w:val="22"/>
          <w:szCs w:val="22"/>
        </w:rPr>
      </w:pPr>
      <w:r w:rsidRPr="00512B6E">
        <w:rPr>
          <w:rFonts w:asciiTheme="majorHAnsi" w:hAnsiTheme="majorHAnsi" w:cstheme="majorHAnsi"/>
          <w:sz w:val="22"/>
          <w:szCs w:val="22"/>
        </w:rPr>
        <w:t xml:space="preserve">His research focus on sustainable development financing and trade-induced inequality.  </w:t>
      </w:r>
    </w:p>
    <w:p w14:paraId="5B2D5059" w14:textId="77777777" w:rsidR="00512B6E" w:rsidRPr="00512B6E" w:rsidRDefault="00512B6E" w:rsidP="008530E1">
      <w:pPr>
        <w:rPr>
          <w:rFonts w:asciiTheme="majorHAnsi" w:hAnsiTheme="majorHAnsi" w:cstheme="majorHAnsi"/>
          <w:color w:val="222222"/>
          <w:sz w:val="22"/>
          <w:szCs w:val="22"/>
        </w:rPr>
      </w:pPr>
    </w:p>
    <w:p w14:paraId="79F153C3" w14:textId="7AAEBC97" w:rsidR="008530E1" w:rsidRPr="00512B6E" w:rsidRDefault="008530E1" w:rsidP="008530E1">
      <w:pP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Alex Hough</w:t>
      </w:r>
    </w:p>
    <w:p w14:paraId="1C85D396" w14:textId="6E6F3F94" w:rsidR="008530E1" w:rsidRPr="00512B6E" w:rsidRDefault="008530E1" w:rsidP="008530E1">
      <w:pP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Affiliation: Institute for Sustainable Development and International Relations (IDDRI)</w:t>
      </w:r>
    </w:p>
    <w:p w14:paraId="23559E9B" w14:textId="26B26D09" w:rsidR="008530E1" w:rsidRPr="00512B6E" w:rsidRDefault="008530E1" w:rsidP="008530E1">
      <w:pPr>
        <w:rPr>
          <w:rFonts w:asciiTheme="majorHAnsi" w:hAnsiTheme="majorHAnsi" w:cstheme="majorHAnsi"/>
          <w:color w:val="222222"/>
          <w:sz w:val="22"/>
          <w:szCs w:val="22"/>
          <w:lang w:val="en-GB"/>
        </w:rPr>
      </w:pPr>
    </w:p>
    <w:p w14:paraId="5C60A63F" w14:textId="77777777" w:rsidR="00512B6E" w:rsidRPr="00512B6E" w:rsidRDefault="00512B6E" w:rsidP="00512B6E">
      <w:pPr>
        <w:rPr>
          <w:rFonts w:asciiTheme="majorHAnsi" w:hAnsiTheme="majorHAnsi" w:cstheme="majorHAnsi"/>
          <w:sz w:val="22"/>
          <w:szCs w:val="22"/>
        </w:rPr>
      </w:pPr>
      <w:r w:rsidRPr="00512B6E">
        <w:rPr>
          <w:rFonts w:asciiTheme="majorHAnsi" w:hAnsiTheme="majorHAnsi" w:cstheme="majorHAnsi"/>
          <w:sz w:val="22"/>
          <w:szCs w:val="22"/>
        </w:rPr>
        <w:t>Alex Hough has a Master's degree in international development from Sciences Po's Paris School of International Affairs. His research interest is in inequality and global governance.</w:t>
      </w:r>
    </w:p>
    <w:p w14:paraId="7D96EA46" w14:textId="77777777" w:rsidR="00512B6E" w:rsidRDefault="00512B6E" w:rsidP="008530E1">
      <w:pPr>
        <w:rPr>
          <w:rFonts w:asciiTheme="majorHAnsi" w:hAnsiTheme="majorHAnsi" w:cstheme="majorHAnsi"/>
          <w:color w:val="222222"/>
          <w:sz w:val="22"/>
          <w:szCs w:val="22"/>
        </w:rPr>
      </w:pPr>
    </w:p>
    <w:p w14:paraId="5DCA1DF9" w14:textId="77777777" w:rsidR="00360DDD" w:rsidRDefault="00360DDD" w:rsidP="00C01041">
      <w:pPr>
        <w:shd w:val="clear" w:color="auto" w:fill="FFFFFF" w:themeFill="background1"/>
        <w:jc w:val="center"/>
        <w:rPr>
          <w:rFonts w:asciiTheme="majorHAnsi" w:hAnsiTheme="majorHAnsi" w:cstheme="majorHAnsi"/>
          <w:color w:val="222222"/>
          <w:sz w:val="22"/>
          <w:szCs w:val="22"/>
          <w:lang w:val="en-GB"/>
        </w:rPr>
      </w:pPr>
      <w:r>
        <w:rPr>
          <w:rFonts w:asciiTheme="majorHAnsi" w:hAnsiTheme="majorHAnsi" w:cstheme="majorHAnsi"/>
          <w:color w:val="222222"/>
          <w:sz w:val="22"/>
          <w:szCs w:val="22"/>
          <w:lang w:val="en-GB"/>
        </w:rPr>
        <w:t xml:space="preserve">Published by SDG Impakter online: </w:t>
      </w:r>
    </w:p>
    <w:p w14:paraId="6E480987" w14:textId="77777777" w:rsidR="00360DDD" w:rsidRDefault="00360DDD" w:rsidP="00C01041">
      <w:pPr>
        <w:shd w:val="clear" w:color="auto" w:fill="FFFFFF" w:themeFill="background1"/>
        <w:jc w:val="center"/>
        <w:rPr>
          <w:rFonts w:asciiTheme="majorHAnsi" w:hAnsiTheme="majorHAnsi" w:cstheme="majorHAnsi"/>
          <w:color w:val="222222"/>
          <w:sz w:val="22"/>
          <w:szCs w:val="22"/>
          <w:lang w:val="en-GB"/>
        </w:rPr>
      </w:pPr>
    </w:p>
    <w:p w14:paraId="70A5A0FC" w14:textId="2DECBE29" w:rsidR="00360DDD" w:rsidRDefault="00360DDD" w:rsidP="00C01041">
      <w:pPr>
        <w:shd w:val="clear" w:color="auto" w:fill="FFFFFF" w:themeFill="background1"/>
        <w:jc w:val="center"/>
        <w:rPr>
          <w:rFonts w:asciiTheme="majorHAnsi" w:hAnsiTheme="majorHAnsi" w:cstheme="majorHAnsi"/>
          <w:color w:val="222222"/>
          <w:sz w:val="22"/>
          <w:szCs w:val="22"/>
          <w:lang w:val="en-GB"/>
        </w:rPr>
      </w:pPr>
      <w:r w:rsidRPr="00360DDD">
        <w:rPr>
          <w:rFonts w:asciiTheme="majorHAnsi" w:hAnsiTheme="majorHAnsi" w:cstheme="majorHAnsi"/>
          <w:color w:val="222222"/>
          <w:sz w:val="22"/>
          <w:szCs w:val="22"/>
          <w:lang w:val="en-GB"/>
        </w:rPr>
        <w:t>http://impakter.com/delivering-domestic-inequality-reduction/</w:t>
      </w:r>
    </w:p>
    <w:p w14:paraId="016A8240" w14:textId="77777777" w:rsidR="00360DDD" w:rsidRPr="00512B6E" w:rsidRDefault="00360DDD" w:rsidP="00C01041">
      <w:pPr>
        <w:shd w:val="clear" w:color="auto" w:fill="FFFFFF" w:themeFill="background1"/>
        <w:jc w:val="center"/>
        <w:rPr>
          <w:rFonts w:asciiTheme="majorHAnsi" w:hAnsiTheme="majorHAnsi" w:cstheme="majorHAnsi"/>
          <w:color w:val="222222"/>
          <w:sz w:val="22"/>
          <w:szCs w:val="22"/>
          <w:lang w:val="en-GB"/>
        </w:rPr>
      </w:pPr>
    </w:p>
    <w:p w14:paraId="71519118" w14:textId="49FFCDCE" w:rsidR="00512B6E" w:rsidRDefault="00512B6E">
      <w:pPr>
        <w:rPr>
          <w:rFonts w:asciiTheme="majorHAnsi" w:hAnsiTheme="majorHAnsi" w:cstheme="majorHAnsi"/>
          <w:b/>
          <w:bCs/>
          <w:kern w:val="36"/>
          <w:sz w:val="22"/>
          <w:szCs w:val="22"/>
          <w:lang w:val="en-GB"/>
        </w:rPr>
      </w:pPr>
      <w:bookmarkStart w:id="1" w:name="_Toc467716413"/>
      <w:r>
        <w:rPr>
          <w:rFonts w:asciiTheme="majorHAnsi" w:hAnsiTheme="majorHAnsi" w:cstheme="majorHAnsi"/>
          <w:sz w:val="22"/>
          <w:szCs w:val="22"/>
        </w:rPr>
        <w:br w:type="page"/>
      </w:r>
    </w:p>
    <w:p w14:paraId="1013D96F" w14:textId="77777777" w:rsidR="00880163" w:rsidRPr="00512B6E" w:rsidRDefault="00880163" w:rsidP="006C2C9E">
      <w:pPr>
        <w:pStyle w:val="Titre1"/>
        <w:jc w:val="both"/>
        <w:rPr>
          <w:rFonts w:asciiTheme="majorHAnsi" w:hAnsiTheme="majorHAnsi" w:cstheme="majorHAnsi"/>
          <w:sz w:val="22"/>
          <w:szCs w:val="22"/>
        </w:rPr>
      </w:pPr>
    </w:p>
    <w:p w14:paraId="7D274A28" w14:textId="12F17941" w:rsidR="00C472A0" w:rsidRPr="00512B6E" w:rsidRDefault="00C472A0" w:rsidP="006C2C9E">
      <w:pPr>
        <w:pStyle w:val="Titre1"/>
        <w:jc w:val="both"/>
        <w:rPr>
          <w:rFonts w:asciiTheme="majorHAnsi" w:hAnsiTheme="majorHAnsi" w:cstheme="majorHAnsi"/>
          <w:sz w:val="22"/>
          <w:szCs w:val="22"/>
        </w:rPr>
      </w:pPr>
      <w:r w:rsidRPr="00512B6E">
        <w:rPr>
          <w:rFonts w:asciiTheme="majorHAnsi" w:hAnsiTheme="majorHAnsi" w:cstheme="majorHAnsi"/>
          <w:sz w:val="22"/>
          <w:szCs w:val="22"/>
        </w:rPr>
        <w:t>Introduction</w:t>
      </w:r>
    </w:p>
    <w:bookmarkEnd w:id="1"/>
    <w:p w14:paraId="6113A459" w14:textId="189173D2" w:rsidR="00C25143" w:rsidRPr="00512B6E" w:rsidRDefault="00636DCD" w:rsidP="00C01041">
      <w:pPr>
        <w:shd w:val="clear" w:color="auto" w:fill="FFFFFF" w:themeFill="background1"/>
        <w:jc w:val="both"/>
        <w:rPr>
          <w:rFonts w:asciiTheme="majorHAnsi" w:eastAsia="Times New Roman" w:hAnsiTheme="majorHAnsi" w:cstheme="majorHAnsi"/>
          <w:color w:val="222222"/>
          <w:sz w:val="22"/>
          <w:szCs w:val="22"/>
          <w:lang w:val="en-GB"/>
        </w:rPr>
      </w:pPr>
      <w:r w:rsidRPr="00512B6E">
        <w:rPr>
          <w:rFonts w:asciiTheme="majorHAnsi" w:eastAsia="Times New Roman" w:hAnsiTheme="majorHAnsi" w:cstheme="majorHAnsi"/>
          <w:color w:val="222222"/>
          <w:sz w:val="22"/>
          <w:szCs w:val="22"/>
          <w:lang w:val="en-GB"/>
        </w:rPr>
        <w:t>I</w:t>
      </w:r>
      <w:r w:rsidR="0013248A" w:rsidRPr="00512B6E">
        <w:rPr>
          <w:rFonts w:asciiTheme="majorHAnsi" w:eastAsia="Times New Roman" w:hAnsiTheme="majorHAnsi" w:cstheme="majorHAnsi"/>
          <w:color w:val="222222"/>
          <w:sz w:val="22"/>
          <w:szCs w:val="22"/>
          <w:lang w:val="en-GB"/>
        </w:rPr>
        <w:t xml:space="preserve">ncome and wealth inequality </w:t>
      </w:r>
      <w:r w:rsidR="00067E8E" w:rsidRPr="00512B6E">
        <w:rPr>
          <w:rFonts w:asciiTheme="majorHAnsi" w:eastAsia="Times New Roman" w:hAnsiTheme="majorHAnsi" w:cstheme="majorHAnsi"/>
          <w:color w:val="222222"/>
          <w:sz w:val="22"/>
          <w:szCs w:val="22"/>
          <w:lang w:val="en-GB"/>
        </w:rPr>
        <w:t>are</w:t>
      </w:r>
      <w:r w:rsidR="008C1938" w:rsidRPr="00512B6E">
        <w:rPr>
          <w:rFonts w:asciiTheme="majorHAnsi" w:eastAsia="Times New Roman" w:hAnsiTheme="majorHAnsi" w:cstheme="majorHAnsi"/>
          <w:color w:val="222222"/>
          <w:sz w:val="22"/>
          <w:szCs w:val="22"/>
          <w:lang w:val="en-GB"/>
        </w:rPr>
        <w:t xml:space="preserve"> rising</w:t>
      </w:r>
      <w:r w:rsidR="0013248A" w:rsidRPr="00512B6E">
        <w:rPr>
          <w:rFonts w:asciiTheme="majorHAnsi" w:eastAsia="Times New Roman" w:hAnsiTheme="majorHAnsi" w:cstheme="majorHAnsi"/>
          <w:color w:val="222222"/>
          <w:sz w:val="22"/>
          <w:szCs w:val="22"/>
          <w:lang w:val="en-GB"/>
        </w:rPr>
        <w:t xml:space="preserve"> in most </w:t>
      </w:r>
      <w:r w:rsidR="0011434E" w:rsidRPr="00512B6E">
        <w:rPr>
          <w:rFonts w:asciiTheme="majorHAnsi" w:eastAsia="Times New Roman" w:hAnsiTheme="majorHAnsi" w:cstheme="majorHAnsi"/>
          <w:color w:val="222222"/>
          <w:sz w:val="22"/>
          <w:szCs w:val="22"/>
          <w:lang w:val="en-GB"/>
        </w:rPr>
        <w:t>countries around the world today</w:t>
      </w:r>
      <w:r w:rsidR="0013248A" w:rsidRPr="00512B6E">
        <w:rPr>
          <w:rFonts w:asciiTheme="majorHAnsi" w:eastAsia="Times New Roman" w:hAnsiTheme="majorHAnsi" w:cstheme="majorHAnsi"/>
          <w:color w:val="222222"/>
          <w:sz w:val="22"/>
          <w:szCs w:val="22"/>
          <w:lang w:val="en-GB"/>
        </w:rPr>
        <w:t xml:space="preserve">. </w:t>
      </w:r>
      <w:r w:rsidR="008A5498" w:rsidRPr="00512B6E">
        <w:rPr>
          <w:rFonts w:asciiTheme="majorHAnsi" w:eastAsia="Times New Roman" w:hAnsiTheme="majorHAnsi" w:cstheme="majorHAnsi"/>
          <w:color w:val="222222"/>
          <w:sz w:val="22"/>
          <w:szCs w:val="22"/>
          <w:lang w:val="en-GB"/>
        </w:rPr>
        <w:t xml:space="preserve">Recognizing that this challenge has become a universal issue, </w:t>
      </w:r>
      <w:r w:rsidR="003C1B54">
        <w:rPr>
          <w:rFonts w:asciiTheme="majorHAnsi" w:eastAsia="Times New Roman" w:hAnsiTheme="majorHAnsi" w:cstheme="majorHAnsi"/>
          <w:color w:val="222222"/>
          <w:sz w:val="22"/>
          <w:szCs w:val="22"/>
          <w:lang w:val="en-GB"/>
        </w:rPr>
        <w:t xml:space="preserve">in 2015, </w:t>
      </w:r>
      <w:r w:rsidR="0095606F" w:rsidRPr="00512B6E">
        <w:rPr>
          <w:rFonts w:asciiTheme="majorHAnsi" w:eastAsia="Times New Roman" w:hAnsiTheme="majorHAnsi" w:cstheme="majorHAnsi"/>
          <w:color w:val="222222"/>
          <w:sz w:val="22"/>
          <w:szCs w:val="22"/>
          <w:lang w:val="en-GB"/>
        </w:rPr>
        <w:t xml:space="preserve">the United Nations </w:t>
      </w:r>
      <w:r w:rsidR="0013248A" w:rsidRPr="00512B6E">
        <w:rPr>
          <w:rFonts w:asciiTheme="majorHAnsi" w:eastAsia="Times New Roman" w:hAnsiTheme="majorHAnsi" w:cstheme="majorHAnsi"/>
          <w:color w:val="222222"/>
          <w:sz w:val="22"/>
          <w:szCs w:val="22"/>
          <w:lang w:val="en-GB"/>
        </w:rPr>
        <w:t xml:space="preserve">agreed to </w:t>
      </w:r>
      <w:r w:rsidR="004C2289" w:rsidRPr="00512B6E">
        <w:rPr>
          <w:rFonts w:asciiTheme="majorHAnsi" w:eastAsia="Times New Roman" w:hAnsiTheme="majorHAnsi" w:cstheme="majorHAnsi"/>
          <w:color w:val="222222"/>
          <w:sz w:val="22"/>
          <w:szCs w:val="22"/>
          <w:lang w:val="en-GB"/>
        </w:rPr>
        <w:t>seventeen</w:t>
      </w:r>
      <w:r w:rsidR="0095606F" w:rsidRPr="00512B6E">
        <w:rPr>
          <w:rFonts w:asciiTheme="majorHAnsi" w:eastAsia="Times New Roman" w:hAnsiTheme="majorHAnsi" w:cstheme="majorHAnsi"/>
          <w:color w:val="222222"/>
          <w:sz w:val="22"/>
          <w:szCs w:val="22"/>
          <w:lang w:val="en-GB"/>
        </w:rPr>
        <w:t xml:space="preserve"> </w:t>
      </w:r>
      <w:r w:rsidR="0013248A" w:rsidRPr="00512B6E">
        <w:rPr>
          <w:rFonts w:asciiTheme="majorHAnsi" w:eastAsia="Times New Roman" w:hAnsiTheme="majorHAnsi" w:cstheme="majorHAnsi"/>
          <w:color w:val="222222"/>
          <w:sz w:val="22"/>
          <w:szCs w:val="22"/>
          <w:lang w:val="en-GB"/>
        </w:rPr>
        <w:t xml:space="preserve">Sustainable Development Goals (SDGs), </w:t>
      </w:r>
      <w:r w:rsidR="00A1295C">
        <w:rPr>
          <w:rFonts w:asciiTheme="majorHAnsi" w:eastAsia="Times New Roman" w:hAnsiTheme="majorHAnsi" w:cstheme="majorHAnsi"/>
          <w:color w:val="222222"/>
          <w:sz w:val="22"/>
          <w:szCs w:val="22"/>
          <w:lang w:val="en-GB"/>
        </w:rPr>
        <w:t>and specifically to</w:t>
      </w:r>
      <w:r w:rsidR="004C2289" w:rsidRPr="00512B6E">
        <w:rPr>
          <w:rFonts w:asciiTheme="majorHAnsi" w:eastAsia="Times New Roman" w:hAnsiTheme="majorHAnsi" w:cstheme="majorHAnsi"/>
          <w:color w:val="222222"/>
          <w:sz w:val="22"/>
          <w:szCs w:val="22"/>
          <w:lang w:val="en-GB"/>
        </w:rPr>
        <w:t xml:space="preserve"> </w:t>
      </w:r>
      <w:r w:rsidR="0013248A" w:rsidRPr="00512B6E">
        <w:rPr>
          <w:rFonts w:asciiTheme="majorHAnsi" w:eastAsia="Times New Roman" w:hAnsiTheme="majorHAnsi" w:cstheme="majorHAnsi"/>
          <w:color w:val="222222"/>
          <w:sz w:val="22"/>
          <w:szCs w:val="22"/>
          <w:lang w:val="en-GB"/>
        </w:rPr>
        <w:t xml:space="preserve">SDG </w:t>
      </w:r>
      <w:r w:rsidR="00B2611C" w:rsidRPr="00512B6E">
        <w:rPr>
          <w:rFonts w:asciiTheme="majorHAnsi" w:eastAsia="Times New Roman" w:hAnsiTheme="majorHAnsi" w:cstheme="majorHAnsi"/>
          <w:color w:val="222222"/>
          <w:sz w:val="22"/>
          <w:szCs w:val="22"/>
          <w:lang w:val="en-GB"/>
        </w:rPr>
        <w:t xml:space="preserve">Target </w:t>
      </w:r>
      <w:r w:rsidR="007D7C7F" w:rsidRPr="00512B6E">
        <w:rPr>
          <w:rFonts w:asciiTheme="majorHAnsi" w:eastAsia="Times New Roman" w:hAnsiTheme="majorHAnsi" w:cstheme="majorHAnsi"/>
          <w:color w:val="222222"/>
          <w:sz w:val="22"/>
          <w:szCs w:val="22"/>
          <w:lang w:val="en-GB"/>
        </w:rPr>
        <w:t>10 commit</w:t>
      </w:r>
      <w:r w:rsidR="00A1295C">
        <w:rPr>
          <w:rFonts w:asciiTheme="majorHAnsi" w:eastAsia="Times New Roman" w:hAnsiTheme="majorHAnsi" w:cstheme="majorHAnsi"/>
          <w:color w:val="222222"/>
          <w:sz w:val="22"/>
          <w:szCs w:val="22"/>
          <w:lang w:val="en-GB"/>
        </w:rPr>
        <w:t>ting</w:t>
      </w:r>
      <w:r w:rsidR="007D7C7F" w:rsidRPr="00512B6E">
        <w:rPr>
          <w:rFonts w:asciiTheme="majorHAnsi" w:eastAsia="Times New Roman" w:hAnsiTheme="majorHAnsi" w:cstheme="majorHAnsi"/>
          <w:color w:val="222222"/>
          <w:sz w:val="22"/>
          <w:szCs w:val="22"/>
          <w:lang w:val="en-GB"/>
        </w:rPr>
        <w:t xml:space="preserve"> countries to ‘</w:t>
      </w:r>
      <w:r w:rsidR="0013248A" w:rsidRPr="00512B6E">
        <w:rPr>
          <w:rFonts w:asciiTheme="majorHAnsi" w:eastAsia="Times New Roman" w:hAnsiTheme="majorHAnsi" w:cstheme="majorHAnsi"/>
          <w:color w:val="222222"/>
          <w:sz w:val="22"/>
          <w:szCs w:val="22"/>
          <w:lang w:val="en-GB"/>
        </w:rPr>
        <w:t xml:space="preserve">reduce inequalities within and </w:t>
      </w:r>
      <w:r w:rsidR="000F2989" w:rsidRPr="00512B6E">
        <w:rPr>
          <w:rFonts w:asciiTheme="majorHAnsi" w:eastAsia="Times New Roman" w:hAnsiTheme="majorHAnsi" w:cstheme="majorHAnsi"/>
          <w:color w:val="222222"/>
          <w:sz w:val="22"/>
          <w:szCs w:val="22"/>
          <w:lang w:val="en-GB"/>
        </w:rPr>
        <w:t>among</w:t>
      </w:r>
      <w:r w:rsidR="007D7C7F" w:rsidRPr="00512B6E">
        <w:rPr>
          <w:rFonts w:asciiTheme="majorHAnsi" w:eastAsia="Times New Roman" w:hAnsiTheme="majorHAnsi" w:cstheme="majorHAnsi"/>
          <w:color w:val="222222"/>
          <w:sz w:val="22"/>
          <w:szCs w:val="22"/>
          <w:lang w:val="en-GB"/>
        </w:rPr>
        <w:t xml:space="preserve"> countries’</w:t>
      </w:r>
      <w:r w:rsidR="0013248A" w:rsidRPr="00512B6E">
        <w:rPr>
          <w:rFonts w:asciiTheme="majorHAnsi" w:eastAsia="Times New Roman" w:hAnsiTheme="majorHAnsi" w:cstheme="majorHAnsi"/>
          <w:color w:val="222222"/>
          <w:sz w:val="22"/>
          <w:szCs w:val="22"/>
          <w:lang w:val="en-GB"/>
        </w:rPr>
        <w:t>.</w:t>
      </w:r>
      <w:r w:rsidR="00C25143" w:rsidRPr="00512B6E">
        <w:rPr>
          <w:rFonts w:asciiTheme="majorHAnsi" w:eastAsia="Times New Roman" w:hAnsiTheme="majorHAnsi" w:cstheme="majorHAnsi"/>
          <w:color w:val="222222"/>
          <w:sz w:val="22"/>
          <w:szCs w:val="22"/>
          <w:lang w:val="en-GB"/>
        </w:rPr>
        <w:t xml:space="preserve"> </w:t>
      </w:r>
    </w:p>
    <w:p w14:paraId="6B5EDBD8" w14:textId="77777777" w:rsidR="00C25143" w:rsidRPr="00512B6E" w:rsidRDefault="00C25143" w:rsidP="006C2C9E">
      <w:pPr>
        <w:shd w:val="clear" w:color="auto" w:fill="FFFFFF"/>
        <w:jc w:val="both"/>
        <w:rPr>
          <w:rFonts w:asciiTheme="majorHAnsi" w:eastAsia="Times New Roman" w:hAnsiTheme="majorHAnsi" w:cstheme="majorHAnsi"/>
          <w:bCs/>
          <w:color w:val="222222"/>
          <w:sz w:val="22"/>
          <w:szCs w:val="22"/>
          <w:lang w:val="en-GB"/>
        </w:rPr>
      </w:pPr>
    </w:p>
    <w:p w14:paraId="43C538A8" w14:textId="2748AA72" w:rsidR="003C1B7F" w:rsidRPr="00512B6E" w:rsidRDefault="0C05A32C">
      <w:pPr>
        <w:shd w:val="clear" w:color="auto" w:fill="FFFFFF" w:themeFill="background1"/>
        <w:jc w:val="both"/>
        <w:rPr>
          <w:rFonts w:asciiTheme="majorHAnsi" w:eastAsia="Arial,Times New Roman" w:hAnsiTheme="majorHAnsi" w:cstheme="majorHAnsi"/>
          <w:color w:val="222222"/>
          <w:sz w:val="22"/>
          <w:szCs w:val="22"/>
          <w:lang w:val="en-GB"/>
        </w:rPr>
      </w:pPr>
      <w:r w:rsidRPr="00512B6E">
        <w:rPr>
          <w:rFonts w:asciiTheme="majorHAnsi" w:eastAsia="Arial,Times New Roman" w:hAnsiTheme="majorHAnsi" w:cstheme="majorHAnsi"/>
          <w:color w:val="222222"/>
          <w:sz w:val="22"/>
          <w:szCs w:val="22"/>
          <w:lang w:val="en-GB"/>
        </w:rPr>
        <w:t>So far, country responses have been sporadic and inconsistent</w:t>
      </w:r>
      <w:r w:rsidR="00A1295C">
        <w:rPr>
          <w:rFonts w:asciiTheme="majorHAnsi" w:eastAsia="Arial,Times New Roman" w:hAnsiTheme="majorHAnsi" w:cstheme="majorHAnsi"/>
          <w:color w:val="222222"/>
          <w:sz w:val="22"/>
          <w:szCs w:val="22"/>
          <w:lang w:val="en-GB"/>
        </w:rPr>
        <w:t xml:space="preserve">, even in the very countries, </w:t>
      </w:r>
      <w:r w:rsidR="003C1B54">
        <w:rPr>
          <w:rFonts w:asciiTheme="majorHAnsi" w:eastAsia="Arial,Times New Roman" w:hAnsiTheme="majorHAnsi" w:cstheme="majorHAnsi"/>
          <w:color w:val="222222"/>
          <w:sz w:val="22"/>
          <w:szCs w:val="22"/>
          <w:lang w:val="en-GB"/>
        </w:rPr>
        <w:t xml:space="preserve">that </w:t>
      </w:r>
      <w:r w:rsidR="00A1295C">
        <w:rPr>
          <w:rFonts w:asciiTheme="majorHAnsi" w:eastAsia="Arial,Times New Roman" w:hAnsiTheme="majorHAnsi" w:cstheme="majorHAnsi"/>
          <w:color w:val="222222"/>
          <w:sz w:val="22"/>
          <w:szCs w:val="22"/>
          <w:lang w:val="en-GB"/>
        </w:rPr>
        <w:t>were the more vocal advocates of the inclusion of domestic inequality reduction in the new global Agenda</w:t>
      </w:r>
      <w:r w:rsidR="005A72B1" w:rsidRPr="00512B6E">
        <w:rPr>
          <w:rFonts w:asciiTheme="majorHAnsi" w:eastAsia="Arial,Times New Roman" w:hAnsiTheme="majorHAnsi" w:cstheme="majorHAnsi"/>
          <w:color w:val="222222"/>
          <w:sz w:val="22"/>
          <w:szCs w:val="22"/>
          <w:lang w:val="en-GB"/>
        </w:rPr>
        <w:t>. T</w:t>
      </w:r>
      <w:r w:rsidRPr="00512B6E">
        <w:rPr>
          <w:rFonts w:asciiTheme="majorHAnsi" w:eastAsia="Arial,Times New Roman" w:hAnsiTheme="majorHAnsi" w:cstheme="majorHAnsi"/>
          <w:color w:val="222222"/>
          <w:sz w:val="22"/>
          <w:szCs w:val="22"/>
          <w:lang w:val="en-GB"/>
        </w:rPr>
        <w:t xml:space="preserve">here has been little articulation about what Target 10 means in terms of national-level implementation. </w:t>
      </w:r>
      <w:r w:rsidR="003C1B54">
        <w:rPr>
          <w:rFonts w:asciiTheme="majorHAnsi" w:eastAsia="Arial,Times New Roman" w:hAnsiTheme="majorHAnsi" w:cstheme="majorHAnsi"/>
          <w:color w:val="222222"/>
          <w:sz w:val="22"/>
          <w:szCs w:val="22"/>
          <w:lang w:val="en-GB"/>
        </w:rPr>
        <w:t>The</w:t>
      </w:r>
      <w:r w:rsidR="000D29BA" w:rsidRPr="00512B6E">
        <w:rPr>
          <w:rFonts w:asciiTheme="majorHAnsi" w:eastAsia="Arial,Times New Roman" w:hAnsiTheme="majorHAnsi" w:cstheme="majorHAnsi"/>
          <w:color w:val="222222"/>
          <w:sz w:val="22"/>
          <w:szCs w:val="22"/>
          <w:lang w:val="en-GB"/>
        </w:rPr>
        <w:t xml:space="preserve"> lack of appropriation is a missed opportunity, in particular for European countries which face the pressing need to both impose their hallmark on the Agenda 2030, and to curb rising inequality at home </w:t>
      </w:r>
      <w:r w:rsidR="003C1B7F" w:rsidRPr="00512B6E">
        <w:rPr>
          <w:rFonts w:asciiTheme="majorHAnsi" w:eastAsia="Arial,Times New Roman" w:hAnsiTheme="majorHAnsi" w:cstheme="majorHAnsi"/>
          <w:color w:val="222222"/>
          <w:sz w:val="22"/>
          <w:szCs w:val="22"/>
          <w:lang w:val="en-GB"/>
        </w:rPr>
        <w:t xml:space="preserve">in countries stuck in the grip of </w:t>
      </w:r>
      <w:r w:rsidR="000D29BA" w:rsidRPr="00512B6E">
        <w:rPr>
          <w:rFonts w:asciiTheme="majorHAnsi" w:eastAsia="Arial,Times New Roman" w:hAnsiTheme="majorHAnsi" w:cstheme="majorHAnsi"/>
          <w:color w:val="222222"/>
          <w:sz w:val="22"/>
          <w:szCs w:val="22"/>
          <w:lang w:val="en-GB"/>
        </w:rPr>
        <w:t xml:space="preserve">populist </w:t>
      </w:r>
      <w:r w:rsidR="003C1B7F" w:rsidRPr="00512B6E">
        <w:rPr>
          <w:rFonts w:asciiTheme="majorHAnsi" w:eastAsia="Arial,Times New Roman" w:hAnsiTheme="majorHAnsi" w:cstheme="majorHAnsi"/>
          <w:color w:val="222222"/>
          <w:sz w:val="22"/>
          <w:szCs w:val="22"/>
          <w:lang w:val="en-GB"/>
        </w:rPr>
        <w:t xml:space="preserve">extremism. Along with climate action, domestic inequality reduction could be the distinctive priority of the EU both at home </w:t>
      </w:r>
      <w:r w:rsidR="003C1B54">
        <w:rPr>
          <w:rFonts w:asciiTheme="majorHAnsi" w:eastAsia="Arial,Times New Roman" w:hAnsiTheme="majorHAnsi" w:cstheme="majorHAnsi"/>
          <w:color w:val="222222"/>
          <w:sz w:val="22"/>
          <w:szCs w:val="22"/>
          <w:lang w:val="en-GB"/>
        </w:rPr>
        <w:t>as well as</w:t>
      </w:r>
      <w:r w:rsidR="003C1B54" w:rsidRPr="00512B6E">
        <w:rPr>
          <w:rFonts w:asciiTheme="majorHAnsi" w:eastAsia="Arial,Times New Roman" w:hAnsiTheme="majorHAnsi" w:cstheme="majorHAnsi"/>
          <w:color w:val="222222"/>
          <w:sz w:val="22"/>
          <w:szCs w:val="22"/>
          <w:lang w:val="en-GB"/>
        </w:rPr>
        <w:t xml:space="preserve"> </w:t>
      </w:r>
      <w:r w:rsidR="003C1B7F" w:rsidRPr="00512B6E">
        <w:rPr>
          <w:rFonts w:asciiTheme="majorHAnsi" w:eastAsia="Arial,Times New Roman" w:hAnsiTheme="majorHAnsi" w:cstheme="majorHAnsi"/>
          <w:color w:val="222222"/>
          <w:sz w:val="22"/>
          <w:szCs w:val="22"/>
          <w:lang w:val="en-GB"/>
        </w:rPr>
        <w:t xml:space="preserve">in its development and cooperation policy. </w:t>
      </w:r>
    </w:p>
    <w:p w14:paraId="1E7F190D" w14:textId="77777777" w:rsidR="003C1B7F" w:rsidRPr="00512B6E" w:rsidRDefault="003C1B7F">
      <w:pPr>
        <w:shd w:val="clear" w:color="auto" w:fill="FFFFFF" w:themeFill="background1"/>
        <w:jc w:val="both"/>
        <w:rPr>
          <w:rFonts w:asciiTheme="majorHAnsi" w:eastAsia="Arial,Times New Roman" w:hAnsiTheme="majorHAnsi" w:cstheme="majorHAnsi"/>
          <w:color w:val="222222"/>
          <w:sz w:val="22"/>
          <w:szCs w:val="22"/>
          <w:lang w:val="en-GB"/>
        </w:rPr>
      </w:pPr>
    </w:p>
    <w:p w14:paraId="6475A43D" w14:textId="29BFA890" w:rsidR="008A128C" w:rsidRPr="00512B6E" w:rsidRDefault="00A22087">
      <w:pPr>
        <w:pStyle w:val="Titre1"/>
        <w:jc w:val="both"/>
        <w:rPr>
          <w:rFonts w:asciiTheme="majorHAnsi" w:hAnsiTheme="majorHAnsi" w:cstheme="majorHAnsi"/>
          <w:sz w:val="22"/>
          <w:szCs w:val="22"/>
          <w:shd w:val="clear" w:color="auto" w:fill="FFFFFF"/>
        </w:rPr>
      </w:pPr>
      <w:bookmarkStart w:id="2" w:name="_Toc467716414"/>
      <w:r w:rsidRPr="00512B6E">
        <w:rPr>
          <w:rFonts w:asciiTheme="majorHAnsi" w:hAnsiTheme="majorHAnsi" w:cstheme="majorHAnsi"/>
          <w:sz w:val="22"/>
          <w:szCs w:val="22"/>
          <w:shd w:val="clear" w:color="auto" w:fill="FFFFFF"/>
        </w:rPr>
        <w:t xml:space="preserve">How domestic </w:t>
      </w:r>
      <w:r w:rsidR="000C4C9B" w:rsidRPr="00512B6E">
        <w:rPr>
          <w:rFonts w:asciiTheme="majorHAnsi" w:hAnsiTheme="majorHAnsi" w:cstheme="majorHAnsi"/>
          <w:sz w:val="22"/>
          <w:szCs w:val="22"/>
          <w:shd w:val="clear" w:color="auto" w:fill="FFFFFF"/>
        </w:rPr>
        <w:t xml:space="preserve">inequality </w:t>
      </w:r>
      <w:r w:rsidR="00574F0C" w:rsidRPr="00512B6E">
        <w:rPr>
          <w:rFonts w:asciiTheme="majorHAnsi" w:hAnsiTheme="majorHAnsi" w:cstheme="majorHAnsi"/>
          <w:sz w:val="22"/>
          <w:szCs w:val="22"/>
          <w:shd w:val="clear" w:color="auto" w:fill="FFFFFF"/>
        </w:rPr>
        <w:t>has become a universal issue</w:t>
      </w:r>
      <w:bookmarkEnd w:id="2"/>
    </w:p>
    <w:p w14:paraId="28BB3F4F" w14:textId="7ACDCD4A" w:rsidR="006533AF" w:rsidRPr="00512B6E" w:rsidRDefault="000A0D07">
      <w:pPr>
        <w:shd w:val="clear" w:color="auto" w:fill="FFFFFF" w:themeFill="background1"/>
        <w:jc w:val="both"/>
        <w:rPr>
          <w:rFonts w:asciiTheme="majorHAnsi" w:eastAsia="Arial" w:hAnsiTheme="majorHAnsi" w:cstheme="majorHAnsi"/>
          <w:color w:val="222222"/>
          <w:sz w:val="22"/>
          <w:szCs w:val="22"/>
          <w:lang w:val="en-GB"/>
        </w:rPr>
      </w:pPr>
      <w:r w:rsidRPr="00512B6E">
        <w:rPr>
          <w:rFonts w:asciiTheme="majorHAnsi" w:eastAsia="Arial,Times New Roman" w:hAnsiTheme="majorHAnsi" w:cstheme="majorHAnsi"/>
          <w:color w:val="222222"/>
          <w:sz w:val="22"/>
          <w:szCs w:val="22"/>
          <w:shd w:val="clear" w:color="auto" w:fill="FFFFFF"/>
          <w:lang w:val="en-GB"/>
        </w:rPr>
        <w:t xml:space="preserve">After decades of divergence across countries per capita income, there </w:t>
      </w:r>
      <w:r w:rsidR="00F812D9" w:rsidRPr="00512B6E">
        <w:rPr>
          <w:rFonts w:asciiTheme="majorHAnsi" w:eastAsia="Arial" w:hAnsiTheme="majorHAnsi" w:cstheme="majorHAnsi"/>
          <w:color w:val="222222"/>
          <w:sz w:val="22"/>
          <w:szCs w:val="22"/>
          <w:lang w:val="en-GB"/>
        </w:rPr>
        <w:t>is evidence of convergence at the global level since the 1990s, and in particular since the 2000s</w:t>
      </w:r>
      <w:r w:rsidR="00360DDD">
        <w:rPr>
          <w:rFonts w:asciiTheme="majorHAnsi" w:eastAsia="Arial,Times New Roman" w:hAnsiTheme="majorHAnsi" w:cstheme="majorHAnsi"/>
          <w:color w:val="222222"/>
          <w:sz w:val="22"/>
          <w:szCs w:val="22"/>
          <w:lang w:val="en-GB"/>
        </w:rPr>
        <w:t>, while domestic inequality is</w:t>
      </w:r>
      <w:r w:rsidR="00A22087" w:rsidRPr="00512B6E">
        <w:rPr>
          <w:rFonts w:asciiTheme="majorHAnsi" w:eastAsia="Arial,Times New Roman" w:hAnsiTheme="majorHAnsi" w:cstheme="majorHAnsi"/>
          <w:color w:val="222222"/>
          <w:sz w:val="22"/>
          <w:szCs w:val="22"/>
          <w:lang w:val="en-GB"/>
        </w:rPr>
        <w:t xml:space="preserve"> conversely on the rise</w:t>
      </w:r>
      <w:r w:rsidR="00F812D9" w:rsidRPr="00512B6E">
        <w:rPr>
          <w:rFonts w:asciiTheme="majorHAnsi" w:eastAsia="Arial,Times New Roman" w:hAnsiTheme="majorHAnsi" w:cstheme="majorHAnsi"/>
          <w:color w:val="222222"/>
          <w:sz w:val="22"/>
          <w:szCs w:val="22"/>
          <w:lang w:val="en-GB"/>
        </w:rPr>
        <w:t xml:space="preserve">. </w:t>
      </w:r>
      <w:r w:rsidR="00574F0C" w:rsidRPr="00512B6E">
        <w:rPr>
          <w:rFonts w:asciiTheme="majorHAnsi" w:eastAsia="Arial" w:hAnsiTheme="majorHAnsi" w:cstheme="majorHAnsi"/>
          <w:color w:val="222222"/>
          <w:sz w:val="22"/>
          <w:szCs w:val="22"/>
          <w:lang w:val="en-GB"/>
        </w:rPr>
        <w:t>Draw</w:t>
      </w:r>
      <w:bookmarkStart w:id="3" w:name="_Toc467716417"/>
      <w:r w:rsidR="002D3E93" w:rsidRPr="00512B6E">
        <w:rPr>
          <w:rFonts w:asciiTheme="majorHAnsi" w:eastAsia="Arial" w:hAnsiTheme="majorHAnsi" w:cstheme="majorHAnsi"/>
          <w:color w:val="222222"/>
          <w:sz w:val="22"/>
          <w:szCs w:val="22"/>
          <w:lang w:val="en-GB"/>
        </w:rPr>
        <w:t xml:space="preserve">ing on the new </w:t>
      </w:r>
      <w:hyperlink r:id="rId8" w:history="1">
        <w:r w:rsidR="00043721" w:rsidRPr="003C1B54">
          <w:rPr>
            <w:rStyle w:val="Lienhypertexte"/>
            <w:rFonts w:asciiTheme="majorHAnsi" w:eastAsia="Arial" w:hAnsiTheme="majorHAnsi" w:cstheme="majorHAnsi"/>
            <w:sz w:val="22"/>
            <w:szCs w:val="22"/>
            <w:lang w:val="en-GB"/>
          </w:rPr>
          <w:t>World Wealth and Income Database</w:t>
        </w:r>
      </w:hyperlink>
      <w:r w:rsidR="003C1B54">
        <w:rPr>
          <w:rFonts w:asciiTheme="majorHAnsi" w:eastAsia="Arial" w:hAnsiTheme="majorHAnsi" w:cstheme="majorHAnsi"/>
          <w:color w:val="222222"/>
          <w:sz w:val="22"/>
          <w:szCs w:val="22"/>
          <w:lang w:val="en-GB"/>
        </w:rPr>
        <w:t xml:space="preserve"> </w:t>
      </w:r>
      <w:r w:rsidR="002D3E93" w:rsidRPr="00512B6E">
        <w:rPr>
          <w:rFonts w:asciiTheme="majorHAnsi" w:eastAsia="Arial" w:hAnsiTheme="majorHAnsi" w:cstheme="majorHAnsi"/>
          <w:color w:val="222222"/>
          <w:sz w:val="22"/>
          <w:szCs w:val="22"/>
          <w:lang w:val="en-GB"/>
        </w:rPr>
        <w:t>database, we present the evolution of top 1</w:t>
      </w:r>
      <w:r w:rsidR="003C1B54">
        <w:rPr>
          <w:rFonts w:asciiTheme="majorHAnsi" w:eastAsia="Arial" w:hAnsiTheme="majorHAnsi" w:cstheme="majorHAnsi"/>
          <w:color w:val="222222"/>
          <w:sz w:val="22"/>
          <w:szCs w:val="22"/>
          <w:lang w:val="en-GB"/>
        </w:rPr>
        <w:t xml:space="preserve"> percent</w:t>
      </w:r>
      <w:r w:rsidR="002D3E93" w:rsidRPr="00512B6E">
        <w:rPr>
          <w:rFonts w:asciiTheme="majorHAnsi" w:eastAsia="Arial" w:hAnsiTheme="majorHAnsi" w:cstheme="majorHAnsi"/>
          <w:color w:val="222222"/>
          <w:sz w:val="22"/>
          <w:szCs w:val="22"/>
          <w:lang w:val="en-GB"/>
        </w:rPr>
        <w:t xml:space="preserve"> income shares – a telling metric of inequality – in developed econ</w:t>
      </w:r>
      <w:r w:rsidR="00887BD3" w:rsidRPr="00512B6E">
        <w:rPr>
          <w:rFonts w:asciiTheme="majorHAnsi" w:eastAsia="Arial" w:hAnsiTheme="majorHAnsi" w:cstheme="majorHAnsi"/>
          <w:color w:val="222222"/>
          <w:sz w:val="22"/>
          <w:szCs w:val="22"/>
          <w:lang w:val="en-GB"/>
        </w:rPr>
        <w:t>omies and developing economies alike. The extent of the increase varies across countries, but in nearly all nations, the general tendency is one of rising top 1</w:t>
      </w:r>
      <w:r w:rsidR="003C1B54">
        <w:rPr>
          <w:rFonts w:asciiTheme="majorHAnsi" w:eastAsia="Arial" w:hAnsiTheme="majorHAnsi" w:cstheme="majorHAnsi"/>
          <w:color w:val="222222"/>
          <w:sz w:val="22"/>
          <w:szCs w:val="22"/>
          <w:lang w:val="en-GB"/>
        </w:rPr>
        <w:t xml:space="preserve"> percent</w:t>
      </w:r>
      <w:r w:rsidR="003C1B54" w:rsidRPr="00512B6E">
        <w:rPr>
          <w:rFonts w:asciiTheme="majorHAnsi" w:eastAsia="Arial" w:hAnsiTheme="majorHAnsi" w:cstheme="majorHAnsi"/>
          <w:color w:val="222222"/>
          <w:sz w:val="22"/>
          <w:szCs w:val="22"/>
          <w:lang w:val="en-GB"/>
        </w:rPr>
        <w:t xml:space="preserve"> </w:t>
      </w:r>
      <w:r w:rsidR="00887BD3" w:rsidRPr="00512B6E">
        <w:rPr>
          <w:rFonts w:asciiTheme="majorHAnsi" w:eastAsia="Arial" w:hAnsiTheme="majorHAnsi" w:cstheme="majorHAnsi"/>
          <w:color w:val="222222"/>
          <w:sz w:val="22"/>
          <w:szCs w:val="22"/>
          <w:lang w:val="en-GB"/>
        </w:rPr>
        <w:t xml:space="preserve"> income shares since the late 1970s</w:t>
      </w:r>
      <w:r w:rsidR="007D7C7F" w:rsidRPr="00512B6E">
        <w:rPr>
          <w:rFonts w:asciiTheme="majorHAnsi" w:eastAsia="Arial" w:hAnsiTheme="majorHAnsi" w:cstheme="majorHAnsi"/>
          <w:color w:val="222222"/>
          <w:sz w:val="22"/>
          <w:szCs w:val="22"/>
          <w:lang w:val="en-GB"/>
        </w:rPr>
        <w:t xml:space="preserve"> (figure 1)</w:t>
      </w:r>
      <w:r w:rsidR="00887BD3" w:rsidRPr="00512B6E">
        <w:rPr>
          <w:rFonts w:asciiTheme="majorHAnsi" w:eastAsia="Arial" w:hAnsiTheme="majorHAnsi" w:cstheme="majorHAnsi"/>
          <w:color w:val="222222"/>
          <w:sz w:val="22"/>
          <w:szCs w:val="22"/>
          <w:lang w:val="en-GB"/>
        </w:rPr>
        <w:t>. In the USA, top 1</w:t>
      </w:r>
      <w:r w:rsidR="003C1B54">
        <w:rPr>
          <w:rFonts w:asciiTheme="majorHAnsi" w:eastAsia="Arial" w:hAnsiTheme="majorHAnsi" w:cstheme="majorHAnsi"/>
          <w:color w:val="222222"/>
          <w:sz w:val="22"/>
          <w:szCs w:val="22"/>
          <w:lang w:val="en-GB"/>
        </w:rPr>
        <w:t xml:space="preserve"> percent</w:t>
      </w:r>
      <w:r w:rsidR="003C1B54" w:rsidRPr="00512B6E">
        <w:rPr>
          <w:rFonts w:asciiTheme="majorHAnsi" w:eastAsia="Arial" w:hAnsiTheme="majorHAnsi" w:cstheme="majorHAnsi"/>
          <w:color w:val="222222"/>
          <w:sz w:val="22"/>
          <w:szCs w:val="22"/>
          <w:lang w:val="en-GB"/>
        </w:rPr>
        <w:t xml:space="preserve"> </w:t>
      </w:r>
      <w:r w:rsidR="00887BD3" w:rsidRPr="00512B6E">
        <w:rPr>
          <w:rFonts w:asciiTheme="majorHAnsi" w:eastAsia="Arial" w:hAnsiTheme="majorHAnsi" w:cstheme="majorHAnsi"/>
          <w:color w:val="222222"/>
          <w:sz w:val="22"/>
          <w:szCs w:val="22"/>
          <w:lang w:val="en-GB"/>
        </w:rPr>
        <w:t xml:space="preserve"> fiscal income share was close to 10</w:t>
      </w:r>
      <w:r w:rsidR="003C1B54">
        <w:rPr>
          <w:rFonts w:asciiTheme="majorHAnsi" w:eastAsia="Arial" w:hAnsiTheme="majorHAnsi" w:cstheme="majorHAnsi"/>
          <w:color w:val="222222"/>
          <w:sz w:val="22"/>
          <w:szCs w:val="22"/>
          <w:lang w:val="en-GB"/>
        </w:rPr>
        <w:t xml:space="preserve"> percent</w:t>
      </w:r>
      <w:r w:rsidR="003C1B54" w:rsidRPr="00512B6E">
        <w:rPr>
          <w:rFonts w:asciiTheme="majorHAnsi" w:eastAsia="Arial" w:hAnsiTheme="majorHAnsi" w:cstheme="majorHAnsi"/>
          <w:color w:val="222222"/>
          <w:sz w:val="22"/>
          <w:szCs w:val="22"/>
          <w:lang w:val="en-GB"/>
        </w:rPr>
        <w:t xml:space="preserve"> </w:t>
      </w:r>
      <w:r w:rsidR="00887BD3" w:rsidRPr="00512B6E">
        <w:rPr>
          <w:rFonts w:asciiTheme="majorHAnsi" w:eastAsia="Arial" w:hAnsiTheme="majorHAnsi" w:cstheme="majorHAnsi"/>
          <w:color w:val="222222"/>
          <w:sz w:val="22"/>
          <w:szCs w:val="22"/>
          <w:lang w:val="en-GB"/>
        </w:rPr>
        <w:t xml:space="preserve"> forty years ago, and is now above 20</w:t>
      </w:r>
      <w:r w:rsidR="003C1B54">
        <w:rPr>
          <w:rFonts w:asciiTheme="majorHAnsi" w:eastAsia="Arial" w:hAnsiTheme="majorHAnsi" w:cstheme="majorHAnsi"/>
          <w:color w:val="222222"/>
          <w:sz w:val="22"/>
          <w:szCs w:val="22"/>
          <w:lang w:val="en-GB"/>
        </w:rPr>
        <w:t xml:space="preserve"> percent</w:t>
      </w:r>
      <w:r w:rsidR="00887BD3" w:rsidRPr="00512B6E">
        <w:rPr>
          <w:rFonts w:asciiTheme="majorHAnsi" w:eastAsia="Arial" w:hAnsiTheme="majorHAnsi" w:cstheme="majorHAnsi"/>
          <w:color w:val="222222"/>
          <w:sz w:val="22"/>
          <w:szCs w:val="22"/>
          <w:lang w:val="en-GB"/>
        </w:rPr>
        <w:t>. Over the same period, top 1</w:t>
      </w:r>
      <w:r w:rsidR="003C1B54" w:rsidRPr="003C1B54">
        <w:rPr>
          <w:rFonts w:asciiTheme="majorHAnsi" w:eastAsia="Arial" w:hAnsiTheme="majorHAnsi" w:cstheme="majorHAnsi"/>
          <w:color w:val="222222"/>
          <w:sz w:val="22"/>
          <w:szCs w:val="22"/>
          <w:lang w:val="en-GB"/>
        </w:rPr>
        <w:t xml:space="preserve"> </w:t>
      </w:r>
      <w:r w:rsidR="003C1B54">
        <w:rPr>
          <w:rFonts w:asciiTheme="majorHAnsi" w:eastAsia="Arial" w:hAnsiTheme="majorHAnsi" w:cstheme="majorHAnsi"/>
          <w:color w:val="222222"/>
          <w:sz w:val="22"/>
          <w:szCs w:val="22"/>
          <w:lang w:val="en-GB"/>
        </w:rPr>
        <w:t>percent</w:t>
      </w:r>
      <w:r w:rsidR="003C1B54" w:rsidRPr="00512B6E">
        <w:rPr>
          <w:rFonts w:asciiTheme="majorHAnsi" w:eastAsia="Arial" w:hAnsiTheme="majorHAnsi" w:cstheme="majorHAnsi"/>
          <w:color w:val="222222"/>
          <w:sz w:val="22"/>
          <w:szCs w:val="22"/>
          <w:lang w:val="en-GB"/>
        </w:rPr>
        <w:t xml:space="preserve"> </w:t>
      </w:r>
      <w:r w:rsidR="00887BD3" w:rsidRPr="00512B6E">
        <w:rPr>
          <w:rFonts w:asciiTheme="majorHAnsi" w:eastAsia="Arial" w:hAnsiTheme="majorHAnsi" w:cstheme="majorHAnsi"/>
          <w:color w:val="222222"/>
          <w:sz w:val="22"/>
          <w:szCs w:val="22"/>
          <w:lang w:val="en-GB"/>
        </w:rPr>
        <w:t xml:space="preserve"> fiscal income share increased from 6.5</w:t>
      </w:r>
      <w:r w:rsidR="003C1B54" w:rsidRPr="003C1B54">
        <w:rPr>
          <w:rFonts w:asciiTheme="majorHAnsi" w:eastAsia="Arial" w:hAnsiTheme="majorHAnsi" w:cstheme="majorHAnsi"/>
          <w:color w:val="222222"/>
          <w:sz w:val="22"/>
          <w:szCs w:val="22"/>
          <w:lang w:val="en-GB"/>
        </w:rPr>
        <w:t xml:space="preserve"> </w:t>
      </w:r>
      <w:r w:rsidR="003C1B54">
        <w:rPr>
          <w:rFonts w:asciiTheme="majorHAnsi" w:eastAsia="Arial" w:hAnsiTheme="majorHAnsi" w:cstheme="majorHAnsi"/>
          <w:color w:val="222222"/>
          <w:sz w:val="22"/>
          <w:szCs w:val="22"/>
          <w:lang w:val="en-GB"/>
        </w:rPr>
        <w:t>percent</w:t>
      </w:r>
      <w:r w:rsidR="003C1B54" w:rsidRPr="00512B6E">
        <w:rPr>
          <w:rFonts w:asciiTheme="majorHAnsi" w:eastAsia="Arial" w:hAnsiTheme="majorHAnsi" w:cstheme="majorHAnsi"/>
          <w:color w:val="222222"/>
          <w:sz w:val="22"/>
          <w:szCs w:val="22"/>
          <w:lang w:val="en-GB"/>
        </w:rPr>
        <w:t xml:space="preserve"> </w:t>
      </w:r>
      <w:r w:rsidR="00887BD3" w:rsidRPr="00512B6E">
        <w:rPr>
          <w:rFonts w:asciiTheme="majorHAnsi" w:eastAsia="Arial" w:hAnsiTheme="majorHAnsi" w:cstheme="majorHAnsi"/>
          <w:color w:val="222222"/>
          <w:sz w:val="22"/>
          <w:szCs w:val="22"/>
          <w:lang w:val="en-GB"/>
        </w:rPr>
        <w:t xml:space="preserve"> to 13</w:t>
      </w:r>
      <w:r w:rsidR="003C1B54" w:rsidRPr="003C1B54">
        <w:rPr>
          <w:rFonts w:asciiTheme="majorHAnsi" w:eastAsia="Arial" w:hAnsiTheme="majorHAnsi" w:cstheme="majorHAnsi"/>
          <w:color w:val="222222"/>
          <w:sz w:val="22"/>
          <w:szCs w:val="22"/>
          <w:lang w:val="en-GB"/>
        </w:rPr>
        <w:t xml:space="preserve"> </w:t>
      </w:r>
      <w:r w:rsidR="003C1B54">
        <w:rPr>
          <w:rFonts w:asciiTheme="majorHAnsi" w:eastAsia="Arial" w:hAnsiTheme="majorHAnsi" w:cstheme="majorHAnsi"/>
          <w:color w:val="222222"/>
          <w:sz w:val="22"/>
          <w:szCs w:val="22"/>
          <w:lang w:val="en-GB"/>
        </w:rPr>
        <w:t>percent</w:t>
      </w:r>
      <w:r w:rsidR="003C1B54" w:rsidRPr="00512B6E">
        <w:rPr>
          <w:rFonts w:asciiTheme="majorHAnsi" w:eastAsia="Arial" w:hAnsiTheme="majorHAnsi" w:cstheme="majorHAnsi"/>
          <w:color w:val="222222"/>
          <w:sz w:val="22"/>
          <w:szCs w:val="22"/>
          <w:lang w:val="en-GB"/>
        </w:rPr>
        <w:t xml:space="preserve"> </w:t>
      </w:r>
      <w:r w:rsidR="00887BD3" w:rsidRPr="00512B6E">
        <w:rPr>
          <w:rFonts w:asciiTheme="majorHAnsi" w:eastAsia="Arial" w:hAnsiTheme="majorHAnsi" w:cstheme="majorHAnsi"/>
          <w:color w:val="222222"/>
          <w:sz w:val="22"/>
          <w:szCs w:val="22"/>
          <w:lang w:val="en-GB"/>
        </w:rPr>
        <w:t xml:space="preserve"> in China</w:t>
      </w:r>
      <w:r w:rsidR="007D7C7F" w:rsidRPr="00512B6E">
        <w:rPr>
          <w:rFonts w:asciiTheme="majorHAnsi" w:eastAsia="Arial" w:hAnsiTheme="majorHAnsi" w:cstheme="majorHAnsi"/>
          <w:color w:val="222222"/>
          <w:sz w:val="22"/>
          <w:szCs w:val="22"/>
          <w:lang w:val="en-GB"/>
        </w:rPr>
        <w:t xml:space="preserve"> (figure 2)</w:t>
      </w:r>
      <w:r w:rsidR="00887BD3" w:rsidRPr="00512B6E">
        <w:rPr>
          <w:rFonts w:asciiTheme="majorHAnsi" w:eastAsia="Arial" w:hAnsiTheme="majorHAnsi" w:cstheme="majorHAnsi"/>
          <w:color w:val="222222"/>
          <w:sz w:val="22"/>
          <w:szCs w:val="22"/>
          <w:lang w:val="en-GB"/>
        </w:rPr>
        <w:t xml:space="preserve">. </w:t>
      </w:r>
    </w:p>
    <w:p w14:paraId="03AF6845" w14:textId="77777777" w:rsidR="002D3E93" w:rsidRPr="00512B6E" w:rsidRDefault="002D3E93" w:rsidP="006533AF">
      <w:pPr>
        <w:shd w:val="clear" w:color="auto" w:fill="FFFFFF"/>
        <w:jc w:val="both"/>
        <w:rPr>
          <w:rFonts w:asciiTheme="majorHAnsi" w:hAnsiTheme="majorHAnsi" w:cstheme="majorHAnsi"/>
          <w:color w:val="222222"/>
          <w:sz w:val="22"/>
          <w:szCs w:val="22"/>
          <w:lang w:val="en-GB"/>
        </w:rPr>
      </w:pPr>
    </w:p>
    <w:p w14:paraId="5DDCD035" w14:textId="77777777" w:rsidR="00A1295C" w:rsidRPr="00512B6E" w:rsidRDefault="00A1295C" w:rsidP="00A1295C">
      <w:pPr>
        <w:jc w:val="both"/>
        <w:rPr>
          <w:rFonts w:asciiTheme="majorHAnsi" w:hAnsiTheme="majorHAnsi" w:cstheme="majorHAnsi"/>
          <w:sz w:val="22"/>
          <w:szCs w:val="22"/>
        </w:rPr>
      </w:pPr>
      <w:r w:rsidRPr="00512B6E">
        <w:rPr>
          <w:rFonts w:asciiTheme="majorHAnsi" w:eastAsia="Calibri" w:hAnsiTheme="majorHAnsi" w:cstheme="majorHAnsi"/>
          <w:sz w:val="22"/>
          <w:szCs w:val="22"/>
        </w:rPr>
        <w:t>In this context,</w:t>
      </w:r>
      <w:r w:rsidRPr="00512B6E">
        <w:rPr>
          <w:rFonts w:asciiTheme="majorHAnsi" w:hAnsiTheme="majorHAnsi" w:cstheme="majorHAnsi"/>
          <w:sz w:val="22"/>
          <w:szCs w:val="22"/>
        </w:rPr>
        <w:t xml:space="preserve"> the </w:t>
      </w:r>
      <w:r w:rsidRPr="00512B6E">
        <w:rPr>
          <w:rFonts w:asciiTheme="majorHAnsi" w:eastAsia="Calibri" w:hAnsiTheme="majorHAnsi" w:cstheme="majorHAnsi"/>
          <w:sz w:val="22"/>
          <w:szCs w:val="22"/>
        </w:rPr>
        <w:t>unanimous endorsement</w:t>
      </w:r>
      <w:r w:rsidRPr="00512B6E">
        <w:rPr>
          <w:rFonts w:asciiTheme="majorHAnsi" w:hAnsiTheme="majorHAnsi" w:cstheme="majorHAnsi"/>
          <w:sz w:val="22"/>
          <w:szCs w:val="22"/>
        </w:rPr>
        <w:t xml:space="preserve"> of SDG Target 10.1 </w:t>
      </w:r>
      <w:r w:rsidRPr="00512B6E">
        <w:rPr>
          <w:rFonts w:asciiTheme="majorHAnsi" w:eastAsia="Calibri" w:hAnsiTheme="majorHAnsi" w:cstheme="majorHAnsi"/>
          <w:sz w:val="22"/>
          <w:szCs w:val="22"/>
        </w:rPr>
        <w:t>by the UN Member States marks an important shift. Target 10.1 explicitly includes</w:t>
      </w:r>
      <w:r w:rsidRPr="00512B6E">
        <w:rPr>
          <w:rFonts w:asciiTheme="majorHAnsi" w:hAnsiTheme="majorHAnsi" w:cstheme="majorHAnsi"/>
          <w:sz w:val="22"/>
          <w:szCs w:val="22"/>
        </w:rPr>
        <w:t xml:space="preserve"> domestic inequality reduction </w:t>
      </w:r>
      <w:r w:rsidRPr="00512B6E">
        <w:rPr>
          <w:rFonts w:asciiTheme="majorHAnsi" w:eastAsia="Calibri" w:hAnsiTheme="majorHAnsi" w:cstheme="majorHAnsi"/>
          <w:sz w:val="22"/>
          <w:szCs w:val="22"/>
        </w:rPr>
        <w:t>in the global development agenda</w:t>
      </w:r>
      <w:r w:rsidRPr="00512B6E">
        <w:rPr>
          <w:rFonts w:asciiTheme="majorHAnsi" w:hAnsiTheme="majorHAnsi" w:cstheme="majorHAnsi"/>
          <w:sz w:val="22"/>
          <w:szCs w:val="22"/>
        </w:rPr>
        <w:t>. It states: ‘</w:t>
      </w:r>
      <w:r w:rsidRPr="00512B6E">
        <w:rPr>
          <w:rFonts w:asciiTheme="majorHAnsi" w:hAnsiTheme="majorHAnsi" w:cstheme="majorHAnsi"/>
          <w:color w:val="000000" w:themeColor="text1"/>
          <w:sz w:val="22"/>
          <w:szCs w:val="22"/>
        </w:rPr>
        <w:t xml:space="preserve">By 2030, progressively achieve and sustain a reduction in income inequality, as measured by the share of the bottom 40 percent of the population in national income, alongside economic growth’. </w:t>
      </w:r>
    </w:p>
    <w:p w14:paraId="62FCC69B" w14:textId="77777777" w:rsidR="007D7C7F" w:rsidRPr="00512B6E" w:rsidRDefault="007D7C7F">
      <w:pPr>
        <w:rPr>
          <w:rFonts w:asciiTheme="majorHAnsi" w:hAnsiTheme="majorHAnsi" w:cstheme="majorHAnsi"/>
          <w:b/>
          <w:color w:val="222222"/>
          <w:sz w:val="22"/>
          <w:szCs w:val="22"/>
          <w:lang w:val="en-GB"/>
        </w:rPr>
      </w:pPr>
      <w:r w:rsidRPr="00512B6E">
        <w:rPr>
          <w:rFonts w:asciiTheme="majorHAnsi" w:hAnsiTheme="majorHAnsi" w:cstheme="majorHAnsi"/>
          <w:b/>
          <w:color w:val="222222"/>
          <w:sz w:val="22"/>
          <w:szCs w:val="22"/>
          <w:lang w:val="en-GB"/>
        </w:rPr>
        <w:br w:type="page"/>
      </w:r>
    </w:p>
    <w:p w14:paraId="165C0F6A" w14:textId="7713C0B6" w:rsidR="007D7C7F" w:rsidRPr="00512B6E" w:rsidRDefault="007D7C7F" w:rsidP="00C01041">
      <w:pPr>
        <w:shd w:val="clear" w:color="auto" w:fill="FFFFFF" w:themeFill="background1"/>
        <w:jc w:val="cente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lastRenderedPageBreak/>
        <w:t>&lt;Figure 1&gt;</w:t>
      </w:r>
    </w:p>
    <w:p w14:paraId="33FF28DE" w14:textId="77777777" w:rsidR="007D7C7F" w:rsidRPr="00512B6E" w:rsidRDefault="007D7C7F" w:rsidP="007D7C7F">
      <w:pPr>
        <w:shd w:val="clear" w:color="auto" w:fill="FFFFFF"/>
        <w:jc w:val="center"/>
        <w:rPr>
          <w:rFonts w:asciiTheme="majorHAnsi" w:hAnsiTheme="majorHAnsi" w:cstheme="majorHAnsi"/>
          <w:color w:val="222222"/>
          <w:sz w:val="22"/>
          <w:szCs w:val="22"/>
          <w:lang w:val="en-GB"/>
        </w:rPr>
      </w:pPr>
    </w:p>
    <w:p w14:paraId="31218FBF" w14:textId="4762FDE5" w:rsidR="007D7C7F" w:rsidRPr="00512B6E" w:rsidRDefault="007D7C7F" w:rsidP="00C01041">
      <w:pPr>
        <w:shd w:val="clear" w:color="auto" w:fill="FFFFFF" w:themeFill="background1"/>
        <w:jc w:val="center"/>
        <w:rPr>
          <w:rFonts w:asciiTheme="majorHAnsi" w:hAnsiTheme="majorHAnsi" w:cstheme="majorHAnsi"/>
          <w:color w:val="222222"/>
          <w:sz w:val="22"/>
          <w:szCs w:val="22"/>
          <w:lang w:val="en-GB"/>
        </w:rPr>
      </w:pPr>
      <w:r w:rsidRPr="00512B6E">
        <w:rPr>
          <w:rFonts w:asciiTheme="majorHAnsi" w:hAnsiTheme="majorHAnsi" w:cstheme="majorHAnsi"/>
          <w:color w:val="222222"/>
          <w:sz w:val="22"/>
          <w:szCs w:val="22"/>
          <w:lang w:val="en-GB"/>
        </w:rPr>
        <w:t xml:space="preserve">&lt;Figure </w:t>
      </w:r>
      <w:r w:rsidR="00CF207A" w:rsidRPr="00512B6E">
        <w:rPr>
          <w:rFonts w:asciiTheme="majorHAnsi" w:hAnsiTheme="majorHAnsi" w:cstheme="majorHAnsi"/>
          <w:color w:val="222222"/>
          <w:sz w:val="22"/>
          <w:szCs w:val="22"/>
          <w:lang w:val="en-GB"/>
        </w:rPr>
        <w:t>2</w:t>
      </w:r>
      <w:r w:rsidRPr="00512B6E">
        <w:rPr>
          <w:rFonts w:asciiTheme="majorHAnsi" w:hAnsiTheme="majorHAnsi" w:cstheme="majorHAnsi"/>
          <w:color w:val="222222"/>
          <w:sz w:val="22"/>
          <w:szCs w:val="22"/>
          <w:lang w:val="en-GB"/>
        </w:rPr>
        <w:t>&gt;</w:t>
      </w:r>
    </w:p>
    <w:p w14:paraId="44C4145D" w14:textId="77777777" w:rsidR="002D3E93" w:rsidRPr="00512B6E" w:rsidRDefault="002D3E93" w:rsidP="006533AF">
      <w:pPr>
        <w:shd w:val="clear" w:color="auto" w:fill="FFFFFF"/>
        <w:jc w:val="both"/>
        <w:rPr>
          <w:rFonts w:asciiTheme="majorHAnsi" w:hAnsiTheme="majorHAnsi" w:cstheme="majorHAnsi"/>
          <w:color w:val="222222"/>
          <w:sz w:val="22"/>
          <w:szCs w:val="22"/>
          <w:lang w:val="en-GB"/>
        </w:rPr>
      </w:pPr>
    </w:p>
    <w:p w14:paraId="7FF20A38" w14:textId="371753C3" w:rsidR="00A22087" w:rsidRPr="00512B6E" w:rsidRDefault="00A22087" w:rsidP="00F271FD">
      <w:pPr>
        <w:jc w:val="both"/>
        <w:rPr>
          <w:rFonts w:asciiTheme="majorHAnsi" w:hAnsiTheme="majorHAnsi" w:cstheme="majorHAnsi"/>
          <w:sz w:val="22"/>
          <w:szCs w:val="22"/>
        </w:rPr>
      </w:pPr>
      <w:bookmarkStart w:id="4" w:name="_Toc467716421"/>
      <w:bookmarkEnd w:id="3"/>
    </w:p>
    <w:p w14:paraId="46BF8B68" w14:textId="534CA06D" w:rsidR="00CD0FBA" w:rsidRPr="00512B6E" w:rsidRDefault="00CD0FBA" w:rsidP="00F271FD">
      <w:pPr>
        <w:jc w:val="both"/>
        <w:rPr>
          <w:rFonts w:asciiTheme="majorHAnsi" w:hAnsiTheme="majorHAnsi" w:cstheme="majorHAnsi"/>
          <w:sz w:val="22"/>
          <w:szCs w:val="22"/>
        </w:rPr>
      </w:pPr>
    </w:p>
    <w:p w14:paraId="78868D5A" w14:textId="101E983A" w:rsidR="00CD0FBA" w:rsidRPr="00512B6E" w:rsidRDefault="15431579" w:rsidP="00F271FD">
      <w:pPr>
        <w:jc w:val="both"/>
        <w:rPr>
          <w:rFonts w:asciiTheme="majorHAnsi" w:hAnsiTheme="majorHAnsi" w:cstheme="majorHAnsi"/>
          <w:sz w:val="22"/>
          <w:szCs w:val="22"/>
        </w:rPr>
      </w:pPr>
      <w:r w:rsidRPr="00512B6E">
        <w:rPr>
          <w:rFonts w:asciiTheme="majorHAnsi" w:eastAsia="Calibri" w:hAnsiTheme="majorHAnsi" w:cstheme="majorHAnsi"/>
          <w:color w:val="000000" w:themeColor="text1"/>
          <w:sz w:val="22"/>
          <w:szCs w:val="22"/>
        </w:rPr>
        <w:t xml:space="preserve">The </w:t>
      </w:r>
      <w:r w:rsidR="006100FA" w:rsidRPr="00512B6E">
        <w:rPr>
          <w:rFonts w:asciiTheme="majorHAnsi" w:eastAsia="Calibri" w:hAnsiTheme="majorHAnsi" w:cstheme="majorHAnsi"/>
          <w:color w:val="000000" w:themeColor="text1"/>
          <w:sz w:val="22"/>
          <w:szCs w:val="22"/>
        </w:rPr>
        <w:t>target</w:t>
      </w:r>
      <w:r w:rsidR="006100FA" w:rsidRPr="00512B6E">
        <w:rPr>
          <w:rFonts w:asciiTheme="majorHAnsi" w:hAnsiTheme="majorHAnsi" w:cstheme="majorHAnsi"/>
          <w:color w:val="000000" w:themeColor="text1"/>
          <w:sz w:val="22"/>
          <w:szCs w:val="22"/>
        </w:rPr>
        <w:t xml:space="preserve"> was the subject </w:t>
      </w:r>
      <w:r w:rsidR="006100FA" w:rsidRPr="00512B6E">
        <w:rPr>
          <w:rFonts w:asciiTheme="majorHAnsi" w:eastAsia="Calibri" w:hAnsiTheme="majorHAnsi" w:cstheme="majorHAnsi"/>
          <w:color w:val="000000" w:themeColor="text1"/>
          <w:sz w:val="22"/>
          <w:szCs w:val="22"/>
        </w:rPr>
        <w:t>to harshly</w:t>
      </w:r>
      <w:r w:rsidRPr="00512B6E">
        <w:rPr>
          <w:rFonts w:asciiTheme="majorHAnsi" w:eastAsia="Calibri" w:hAnsiTheme="majorHAnsi" w:cstheme="majorHAnsi"/>
          <w:color w:val="000000" w:themeColor="text1"/>
          <w:sz w:val="22"/>
          <w:szCs w:val="22"/>
        </w:rPr>
        <w:t xml:space="preserve"> contested</w:t>
      </w:r>
      <w:r w:rsidRPr="00512B6E">
        <w:rPr>
          <w:rFonts w:asciiTheme="majorHAnsi" w:hAnsiTheme="majorHAnsi" w:cstheme="majorHAnsi"/>
          <w:color w:val="000000" w:themeColor="text1"/>
          <w:sz w:val="22"/>
          <w:szCs w:val="22"/>
        </w:rPr>
        <w:t xml:space="preserve"> debates </w:t>
      </w:r>
      <w:r w:rsidRPr="00512B6E">
        <w:rPr>
          <w:rFonts w:asciiTheme="majorHAnsi" w:eastAsia="Calibri" w:hAnsiTheme="majorHAnsi" w:cstheme="majorHAnsi"/>
          <w:color w:val="000000" w:themeColor="text1"/>
          <w:sz w:val="22"/>
          <w:szCs w:val="22"/>
        </w:rPr>
        <w:t>in</w:t>
      </w:r>
      <w:r w:rsidRPr="00512B6E">
        <w:rPr>
          <w:rFonts w:asciiTheme="majorHAnsi" w:hAnsiTheme="majorHAnsi" w:cstheme="majorHAnsi"/>
          <w:color w:val="000000" w:themeColor="text1"/>
          <w:sz w:val="22"/>
          <w:szCs w:val="22"/>
        </w:rPr>
        <w:t xml:space="preserve"> the Open Working Group. There were calls for a target for reducing income inequality within countries, measured by the Gini coefficient or the Palma index. </w:t>
      </w:r>
      <w:r w:rsidRPr="00512B6E">
        <w:rPr>
          <w:rFonts w:asciiTheme="majorHAnsi" w:eastAsia="Calibri" w:hAnsiTheme="majorHAnsi" w:cstheme="majorHAnsi"/>
          <w:color w:val="000000" w:themeColor="text1"/>
          <w:sz w:val="22"/>
          <w:szCs w:val="22"/>
        </w:rPr>
        <w:t xml:space="preserve">Meanwhile, the </w:t>
      </w:r>
      <w:r w:rsidRPr="00512B6E">
        <w:rPr>
          <w:rFonts w:asciiTheme="majorHAnsi" w:hAnsiTheme="majorHAnsi" w:cstheme="majorHAnsi"/>
          <w:color w:val="000000" w:themeColor="text1"/>
          <w:sz w:val="22"/>
          <w:szCs w:val="22"/>
        </w:rPr>
        <w:t xml:space="preserve">report of the High-Level Panel argued against a target for addressing domestic income inequality on the grounds that </w:t>
      </w:r>
      <w:r w:rsidRPr="00512B6E">
        <w:rPr>
          <w:rFonts w:asciiTheme="majorHAnsi" w:hAnsiTheme="majorHAnsi" w:cstheme="majorHAnsi"/>
          <w:i/>
          <w:color w:val="000000" w:themeColor="text1"/>
          <w:sz w:val="22"/>
          <w:szCs w:val="22"/>
        </w:rPr>
        <w:t>‘</w:t>
      </w:r>
      <w:r w:rsidRPr="00512B6E">
        <w:rPr>
          <w:rFonts w:asciiTheme="majorHAnsi" w:hAnsiTheme="majorHAnsi" w:cstheme="majorHAnsi"/>
          <w:color w:val="000000" w:themeColor="text1"/>
          <w:sz w:val="22"/>
          <w:szCs w:val="22"/>
        </w:rPr>
        <w:t>countries differ widely both in their view of what levels of income inequality are acceptable and in the strategies they adopt to reduce it.’</w:t>
      </w:r>
      <w:r w:rsidRPr="00512B6E">
        <w:rPr>
          <w:rFonts w:asciiTheme="majorHAnsi" w:hAnsiTheme="majorHAnsi" w:cstheme="majorHAnsi"/>
          <w:i/>
          <w:color w:val="000000" w:themeColor="text1"/>
          <w:sz w:val="22"/>
          <w:szCs w:val="22"/>
        </w:rPr>
        <w:t xml:space="preserve"> </w:t>
      </w:r>
      <w:r w:rsidRPr="00512B6E">
        <w:rPr>
          <w:rFonts w:asciiTheme="majorHAnsi" w:hAnsiTheme="majorHAnsi" w:cstheme="majorHAnsi"/>
          <w:color w:val="000000" w:themeColor="text1"/>
          <w:sz w:val="22"/>
          <w:szCs w:val="22"/>
        </w:rPr>
        <w:t xml:space="preserve">Several countries such as the USA and Canada contended that a standalone goal on inequality could ‘lead to a sterile debate’ and that domestic inequality reduction would better be achieved through other goals such as economic growth or a fair access to productive assets. Other countries like China and Indonesia argued that within-country inequalities objectives tended to place a higher burden on </w:t>
      </w:r>
      <w:r w:rsidRPr="00512B6E">
        <w:rPr>
          <w:rFonts w:asciiTheme="majorHAnsi" w:eastAsia="Calibri" w:hAnsiTheme="majorHAnsi" w:cstheme="majorHAnsi"/>
          <w:color w:val="000000" w:themeColor="text1"/>
          <w:sz w:val="22"/>
          <w:szCs w:val="22"/>
        </w:rPr>
        <w:t>developing</w:t>
      </w:r>
      <w:r w:rsidRPr="00512B6E">
        <w:rPr>
          <w:rFonts w:asciiTheme="majorHAnsi" w:hAnsiTheme="majorHAnsi" w:cstheme="majorHAnsi"/>
          <w:color w:val="000000" w:themeColor="text1"/>
          <w:sz w:val="22"/>
          <w:szCs w:val="22"/>
        </w:rPr>
        <w:t xml:space="preserve"> countries than on OECD economies, and that ‘promoting equality should not be a standalone goal area.’ </w:t>
      </w:r>
      <w:r w:rsidRPr="00512B6E">
        <w:rPr>
          <w:rFonts w:asciiTheme="majorHAnsi" w:eastAsia="Calibri" w:hAnsiTheme="majorHAnsi" w:cstheme="majorHAnsi"/>
          <w:sz w:val="22"/>
          <w:szCs w:val="22"/>
          <w:lang w:val="en-GB"/>
        </w:rPr>
        <w:t xml:space="preserve"> </w:t>
      </w:r>
    </w:p>
    <w:p w14:paraId="1E53C0F6" w14:textId="5BBAF7F2" w:rsidR="00CD0FBA" w:rsidRPr="00512B6E" w:rsidRDefault="15431579" w:rsidP="00C01041">
      <w:pPr>
        <w:jc w:val="both"/>
        <w:rPr>
          <w:rFonts w:asciiTheme="majorHAnsi" w:hAnsiTheme="majorHAnsi" w:cstheme="majorHAnsi"/>
          <w:sz w:val="22"/>
          <w:szCs w:val="22"/>
        </w:rPr>
      </w:pPr>
      <w:r w:rsidRPr="00512B6E">
        <w:rPr>
          <w:rFonts w:asciiTheme="majorHAnsi" w:eastAsia="Calibri" w:hAnsiTheme="majorHAnsi" w:cstheme="majorHAnsi"/>
          <w:sz w:val="22"/>
          <w:szCs w:val="22"/>
          <w:lang w:val="en-GB"/>
        </w:rPr>
        <w:t xml:space="preserve"> </w:t>
      </w:r>
    </w:p>
    <w:p w14:paraId="76A16D90" w14:textId="1CC69E54" w:rsidR="0090780A" w:rsidRPr="00512B6E" w:rsidRDefault="15431579" w:rsidP="00C01041">
      <w:pPr>
        <w:jc w:val="both"/>
        <w:rPr>
          <w:rFonts w:asciiTheme="majorHAnsi" w:hAnsiTheme="majorHAnsi" w:cstheme="majorHAnsi"/>
          <w:sz w:val="22"/>
          <w:szCs w:val="22"/>
        </w:rPr>
      </w:pPr>
      <w:r w:rsidRPr="00512B6E">
        <w:rPr>
          <w:rFonts w:asciiTheme="majorHAnsi" w:hAnsiTheme="majorHAnsi" w:cstheme="majorHAnsi"/>
          <w:color w:val="000000" w:themeColor="text1"/>
          <w:sz w:val="22"/>
          <w:szCs w:val="22"/>
        </w:rPr>
        <w:t xml:space="preserve">After the target was removed from the draft-list in the course of 2014, a group of countries led by Denmark, Norway, and Brazil supported its re-inclusion. Denmark, along with Norway, argued that the rise in inequalities found its roots in ‘exclusive growth’ and that a specific metric should be used to ensure that growth resorbs inequalities rather than </w:t>
      </w:r>
      <w:r w:rsidRPr="00512B6E">
        <w:rPr>
          <w:rFonts w:asciiTheme="majorHAnsi" w:eastAsia="Calibri" w:hAnsiTheme="majorHAnsi" w:cstheme="majorHAnsi"/>
          <w:color w:val="000000" w:themeColor="text1"/>
          <w:sz w:val="22"/>
          <w:szCs w:val="22"/>
        </w:rPr>
        <w:t>triggers</w:t>
      </w:r>
      <w:r w:rsidRPr="00512B6E">
        <w:rPr>
          <w:rFonts w:asciiTheme="majorHAnsi" w:hAnsiTheme="majorHAnsi" w:cstheme="majorHAnsi"/>
          <w:color w:val="000000" w:themeColor="text1"/>
          <w:sz w:val="22"/>
          <w:szCs w:val="22"/>
        </w:rPr>
        <w:t xml:space="preserve"> them. As for Brazil, while stressing the need to reduce between-country inequalities, it also supported the inclusion of domestic inequality reduction targets. This second group of countries was successful in including the domestic target in the final list, after campaigns from NGOs and lobbying from influential academia such as </w:t>
      </w:r>
      <w:hyperlink r:id="rId9" w:history="1">
        <w:r w:rsidRPr="00E54030">
          <w:rPr>
            <w:rStyle w:val="Lienhypertexte"/>
            <w:rFonts w:asciiTheme="majorHAnsi" w:hAnsiTheme="majorHAnsi" w:cstheme="majorHAnsi"/>
            <w:sz w:val="22"/>
            <w:szCs w:val="22"/>
          </w:rPr>
          <w:t>J. Stiglitz</w:t>
        </w:r>
      </w:hyperlink>
      <w:r w:rsidRPr="00512B6E">
        <w:rPr>
          <w:rFonts w:asciiTheme="majorHAnsi" w:hAnsiTheme="majorHAnsi" w:cstheme="majorHAnsi"/>
          <w:color w:val="000000" w:themeColor="text1"/>
          <w:sz w:val="22"/>
          <w:szCs w:val="22"/>
        </w:rPr>
        <w:t xml:space="preserve"> </w:t>
      </w:r>
      <w:r w:rsidR="00CD0FBA" w:rsidRPr="00512B6E">
        <w:rPr>
          <w:rFonts w:asciiTheme="majorHAnsi" w:hAnsiTheme="majorHAnsi" w:cstheme="majorHAnsi"/>
          <w:sz w:val="22"/>
          <w:szCs w:val="22"/>
        </w:rPr>
        <w:br/>
      </w:r>
    </w:p>
    <w:bookmarkEnd w:id="4"/>
    <w:p w14:paraId="6ABD856C" w14:textId="506619BB" w:rsidR="009C7E51" w:rsidRPr="00512B6E" w:rsidRDefault="00A1295C">
      <w:pPr>
        <w:pStyle w:val="Titre1"/>
        <w:jc w:val="both"/>
        <w:rPr>
          <w:rFonts w:asciiTheme="majorHAnsi" w:eastAsia="Times New Roman" w:hAnsiTheme="majorHAnsi" w:cstheme="majorHAnsi"/>
          <w:b w:val="0"/>
          <w:bCs w:val="0"/>
          <w:color w:val="222222"/>
          <w:sz w:val="22"/>
          <w:szCs w:val="22"/>
          <w:shd w:val="clear" w:color="auto" w:fill="FFFFFF"/>
        </w:rPr>
      </w:pPr>
      <w:r>
        <w:rPr>
          <w:rFonts w:asciiTheme="majorHAnsi" w:hAnsiTheme="majorHAnsi" w:cstheme="majorHAnsi"/>
          <w:sz w:val="22"/>
          <w:szCs w:val="22"/>
          <w:shd w:val="clear" w:color="auto" w:fill="FFFFFF"/>
        </w:rPr>
        <w:t xml:space="preserve">Leveraging </w:t>
      </w:r>
      <w:r w:rsidR="007509B9" w:rsidRPr="00512B6E">
        <w:rPr>
          <w:rFonts w:asciiTheme="majorHAnsi" w:hAnsiTheme="majorHAnsi" w:cstheme="majorHAnsi"/>
          <w:sz w:val="22"/>
          <w:szCs w:val="22"/>
          <w:shd w:val="clear" w:color="auto" w:fill="FFFFFF"/>
        </w:rPr>
        <w:t>SDG 10</w:t>
      </w:r>
      <w:r>
        <w:rPr>
          <w:rFonts w:asciiTheme="majorHAnsi" w:hAnsiTheme="majorHAnsi" w:cstheme="majorHAnsi"/>
          <w:sz w:val="22"/>
          <w:szCs w:val="22"/>
          <w:shd w:val="clear" w:color="auto" w:fill="FFFFFF"/>
        </w:rPr>
        <w:t xml:space="preserve"> in national politics</w:t>
      </w:r>
    </w:p>
    <w:p w14:paraId="437E4FAE" w14:textId="1AE3D75A" w:rsidR="3A8614C6" w:rsidRPr="00A1295C" w:rsidRDefault="3A8614C6" w:rsidP="00C01041">
      <w:pPr>
        <w:shd w:val="clear" w:color="auto" w:fill="FFFFFF" w:themeFill="background1"/>
        <w:jc w:val="both"/>
        <w:rPr>
          <w:rFonts w:asciiTheme="majorHAnsi" w:hAnsiTheme="majorHAnsi" w:cstheme="majorHAnsi"/>
          <w:color w:val="000000" w:themeColor="text1"/>
          <w:sz w:val="22"/>
          <w:szCs w:val="22"/>
          <w:lang w:val="en-GB"/>
        </w:rPr>
      </w:pPr>
    </w:p>
    <w:p w14:paraId="2278A727" w14:textId="28B8EF3E" w:rsidR="007455A1" w:rsidRPr="00512B6E" w:rsidRDefault="007455A1" w:rsidP="00C01041">
      <w:pPr>
        <w:shd w:val="clear" w:color="auto" w:fill="FFFFFF" w:themeFill="background1"/>
        <w:jc w:val="both"/>
        <w:rPr>
          <w:rFonts w:asciiTheme="majorHAnsi" w:hAnsiTheme="majorHAnsi" w:cstheme="majorHAnsi"/>
          <w:sz w:val="22"/>
          <w:szCs w:val="22"/>
        </w:rPr>
      </w:pPr>
      <w:r w:rsidRPr="00512B6E">
        <w:rPr>
          <w:rFonts w:asciiTheme="majorHAnsi" w:hAnsiTheme="majorHAnsi" w:cstheme="majorHAnsi"/>
          <w:sz w:val="22"/>
          <w:szCs w:val="22"/>
        </w:rPr>
        <w:t xml:space="preserve">A common set of 230 indicators </w:t>
      </w:r>
      <w:r w:rsidR="003C1B54">
        <w:rPr>
          <w:rFonts w:asciiTheme="majorHAnsi" w:hAnsiTheme="majorHAnsi" w:cstheme="majorHAnsi"/>
          <w:sz w:val="22"/>
          <w:szCs w:val="22"/>
        </w:rPr>
        <w:t>were</w:t>
      </w:r>
      <w:r w:rsidR="003C1B54" w:rsidRPr="00512B6E">
        <w:rPr>
          <w:rFonts w:asciiTheme="majorHAnsi" w:hAnsiTheme="majorHAnsi" w:cstheme="majorHAnsi"/>
          <w:sz w:val="22"/>
          <w:szCs w:val="22"/>
        </w:rPr>
        <w:t xml:space="preserve"> </w:t>
      </w:r>
      <w:r w:rsidRPr="00512B6E">
        <w:rPr>
          <w:rFonts w:asciiTheme="majorHAnsi" w:hAnsiTheme="majorHAnsi" w:cstheme="majorHAnsi"/>
          <w:sz w:val="22"/>
          <w:szCs w:val="22"/>
        </w:rPr>
        <w:t xml:space="preserve">agreed </w:t>
      </w:r>
      <w:r w:rsidR="003C1B54">
        <w:rPr>
          <w:rFonts w:asciiTheme="majorHAnsi" w:hAnsiTheme="majorHAnsi" w:cstheme="majorHAnsi"/>
          <w:sz w:val="22"/>
          <w:szCs w:val="22"/>
        </w:rPr>
        <w:t xml:space="preserve">on </w:t>
      </w:r>
      <w:r w:rsidRPr="00512B6E">
        <w:rPr>
          <w:rFonts w:asciiTheme="majorHAnsi" w:hAnsiTheme="majorHAnsi" w:cstheme="majorHAnsi"/>
          <w:sz w:val="22"/>
          <w:szCs w:val="22"/>
        </w:rPr>
        <w:t xml:space="preserve">in 2016 at </w:t>
      </w:r>
      <w:r w:rsidR="003C1B54">
        <w:rPr>
          <w:rFonts w:asciiTheme="majorHAnsi" w:hAnsiTheme="majorHAnsi" w:cstheme="majorHAnsi"/>
          <w:sz w:val="22"/>
          <w:szCs w:val="22"/>
        </w:rPr>
        <w:t xml:space="preserve">the </w:t>
      </w:r>
      <w:r w:rsidRPr="00512B6E">
        <w:rPr>
          <w:rFonts w:asciiTheme="majorHAnsi" w:hAnsiTheme="majorHAnsi" w:cstheme="majorHAnsi"/>
          <w:sz w:val="22"/>
          <w:szCs w:val="22"/>
        </w:rPr>
        <w:t>UN level as the backbone of monitoring the SDGs at local, national, regional, and global levels. They serve as a management tool</w:t>
      </w:r>
      <w:r w:rsidRPr="00512B6E">
        <w:rPr>
          <w:rFonts w:asciiTheme="majorHAnsi" w:hAnsiTheme="majorHAnsi" w:cstheme="majorHAnsi"/>
          <w:b/>
          <w:bCs/>
          <w:sz w:val="22"/>
          <w:szCs w:val="22"/>
        </w:rPr>
        <w:t xml:space="preserve"> </w:t>
      </w:r>
      <w:r w:rsidRPr="00512B6E">
        <w:rPr>
          <w:rFonts w:asciiTheme="majorHAnsi" w:hAnsiTheme="majorHAnsi" w:cstheme="majorHAnsi"/>
          <w:sz w:val="22"/>
          <w:szCs w:val="22"/>
        </w:rPr>
        <w:t>to help countries develop implementation strategies and allocate resources accordingly, and as a report card</w:t>
      </w:r>
      <w:r w:rsidRPr="00512B6E">
        <w:rPr>
          <w:rFonts w:asciiTheme="majorHAnsi" w:hAnsiTheme="majorHAnsi" w:cstheme="majorHAnsi"/>
          <w:b/>
          <w:bCs/>
          <w:sz w:val="22"/>
          <w:szCs w:val="22"/>
        </w:rPr>
        <w:t xml:space="preserve"> </w:t>
      </w:r>
      <w:r w:rsidRPr="00512B6E">
        <w:rPr>
          <w:rFonts w:asciiTheme="majorHAnsi" w:hAnsiTheme="majorHAnsi" w:cstheme="majorHAnsi"/>
          <w:sz w:val="22"/>
          <w:szCs w:val="22"/>
        </w:rPr>
        <w:t>to measure progress towards achieving a target and to ensur</w:t>
      </w:r>
      <w:r w:rsidR="003C1B54">
        <w:rPr>
          <w:rFonts w:asciiTheme="majorHAnsi" w:hAnsiTheme="majorHAnsi" w:cstheme="majorHAnsi"/>
          <w:sz w:val="22"/>
          <w:szCs w:val="22"/>
        </w:rPr>
        <w:t>ing</w:t>
      </w:r>
      <w:r w:rsidRPr="00512B6E">
        <w:rPr>
          <w:rFonts w:asciiTheme="majorHAnsi" w:hAnsiTheme="majorHAnsi" w:cstheme="majorHAnsi"/>
          <w:sz w:val="22"/>
          <w:szCs w:val="22"/>
        </w:rPr>
        <w:t xml:space="preserve"> the accountability of governments and other stake</w:t>
      </w:r>
      <w:r w:rsidR="003E560D" w:rsidRPr="00512B6E">
        <w:rPr>
          <w:rFonts w:asciiTheme="majorHAnsi" w:hAnsiTheme="majorHAnsi" w:cstheme="majorHAnsi"/>
          <w:sz w:val="22"/>
          <w:szCs w:val="22"/>
        </w:rPr>
        <w:t xml:space="preserve">holders for </w:t>
      </w:r>
      <w:r w:rsidR="003C1B54">
        <w:rPr>
          <w:rFonts w:asciiTheme="majorHAnsi" w:hAnsiTheme="majorHAnsi" w:cstheme="majorHAnsi"/>
          <w:sz w:val="22"/>
          <w:szCs w:val="22"/>
        </w:rPr>
        <w:t>the implementation of the SDGs.</w:t>
      </w:r>
      <w:r w:rsidRPr="00512B6E">
        <w:rPr>
          <w:rFonts w:asciiTheme="majorHAnsi" w:hAnsiTheme="majorHAnsi" w:cstheme="majorHAnsi"/>
          <w:sz w:val="22"/>
          <w:szCs w:val="22"/>
        </w:rPr>
        <w:t xml:space="preserve"> </w:t>
      </w:r>
    </w:p>
    <w:p w14:paraId="4F966D3A" w14:textId="60B5FD66" w:rsidR="00605ADC" w:rsidRPr="00512B6E" w:rsidRDefault="00605ADC" w:rsidP="00512B6E">
      <w:pPr>
        <w:rPr>
          <w:rFonts w:asciiTheme="majorHAnsi" w:eastAsia="Arial" w:hAnsiTheme="majorHAnsi" w:cstheme="majorHAnsi"/>
          <w:color w:val="222222"/>
          <w:sz w:val="22"/>
          <w:szCs w:val="22"/>
        </w:rPr>
      </w:pPr>
    </w:p>
    <w:p w14:paraId="6CC2EAE2" w14:textId="74460AF1" w:rsidR="00FC4D14" w:rsidRPr="00512B6E" w:rsidRDefault="38D31868" w:rsidP="00512B6E">
      <w:pPr>
        <w:shd w:val="clear" w:color="auto" w:fill="FFFFFF" w:themeFill="background1"/>
        <w:jc w:val="both"/>
        <w:rPr>
          <w:rFonts w:asciiTheme="majorHAnsi" w:eastAsia="Arial" w:hAnsiTheme="majorHAnsi" w:cstheme="majorHAnsi"/>
          <w:color w:val="222222"/>
          <w:sz w:val="22"/>
          <w:szCs w:val="22"/>
          <w:lang w:val="en-GB"/>
        </w:rPr>
      </w:pPr>
      <w:r w:rsidRPr="00512B6E">
        <w:rPr>
          <w:rFonts w:asciiTheme="majorHAnsi" w:eastAsia="Arial" w:hAnsiTheme="majorHAnsi" w:cstheme="majorHAnsi"/>
          <w:color w:val="222222"/>
          <w:sz w:val="22"/>
          <w:szCs w:val="22"/>
          <w:lang w:val="en-GB"/>
        </w:rPr>
        <w:t xml:space="preserve">The </w:t>
      </w:r>
      <w:r w:rsidR="0E437BC2" w:rsidRPr="00512B6E">
        <w:rPr>
          <w:rFonts w:asciiTheme="majorHAnsi" w:eastAsia="Arial" w:hAnsiTheme="majorHAnsi" w:cstheme="majorHAnsi"/>
          <w:color w:val="222222"/>
          <w:sz w:val="22"/>
          <w:szCs w:val="22"/>
          <w:lang w:val="en-GB"/>
        </w:rPr>
        <w:t>additional value of the SDGs, in this context, is to</w:t>
      </w:r>
      <w:r w:rsidRPr="00512B6E">
        <w:rPr>
          <w:rFonts w:asciiTheme="majorHAnsi" w:eastAsia="Arial" w:hAnsiTheme="majorHAnsi" w:cstheme="majorHAnsi"/>
          <w:color w:val="222222"/>
          <w:sz w:val="22"/>
          <w:szCs w:val="22"/>
          <w:lang w:val="en-GB"/>
        </w:rPr>
        <w:t xml:space="preserve"> </w:t>
      </w:r>
      <w:r w:rsidR="0C05A32C" w:rsidRPr="00512B6E">
        <w:rPr>
          <w:rFonts w:asciiTheme="majorHAnsi" w:eastAsia="Arial" w:hAnsiTheme="majorHAnsi" w:cstheme="majorHAnsi"/>
          <w:color w:val="222222"/>
          <w:sz w:val="22"/>
          <w:szCs w:val="22"/>
          <w:lang w:val="en-GB"/>
        </w:rPr>
        <w:t xml:space="preserve">provide a common, universal </w:t>
      </w:r>
      <w:r w:rsidR="2A1A5D10" w:rsidRPr="00512B6E">
        <w:rPr>
          <w:rFonts w:asciiTheme="majorHAnsi" w:eastAsia="Arial" w:hAnsiTheme="majorHAnsi" w:cstheme="majorHAnsi"/>
          <w:color w:val="222222"/>
          <w:sz w:val="22"/>
          <w:szCs w:val="22"/>
          <w:lang w:val="en-GB"/>
        </w:rPr>
        <w:t>me</w:t>
      </w:r>
      <w:r w:rsidR="77FEF0A9" w:rsidRPr="00512B6E">
        <w:rPr>
          <w:rFonts w:asciiTheme="majorHAnsi" w:eastAsia="Arial" w:hAnsiTheme="majorHAnsi" w:cstheme="majorHAnsi"/>
          <w:color w:val="222222"/>
          <w:sz w:val="22"/>
          <w:szCs w:val="22"/>
          <w:lang w:val="en-GB"/>
        </w:rPr>
        <w:t>tric. The metric carries particular weight as it has been unanimously endorsed by the UN Member States.</w:t>
      </w:r>
      <w:r w:rsidR="00512B6E" w:rsidRPr="00512B6E">
        <w:rPr>
          <w:rFonts w:asciiTheme="majorHAnsi" w:eastAsia="Arial" w:hAnsiTheme="majorHAnsi" w:cstheme="majorHAnsi"/>
          <w:color w:val="222222"/>
          <w:sz w:val="22"/>
          <w:szCs w:val="22"/>
          <w:lang w:val="en-GB"/>
        </w:rPr>
        <w:t xml:space="preserve"> </w:t>
      </w:r>
      <w:r w:rsidR="7536DBC7" w:rsidRPr="00512B6E">
        <w:rPr>
          <w:rFonts w:asciiTheme="majorHAnsi" w:hAnsiTheme="majorHAnsi" w:cstheme="majorHAnsi"/>
          <w:color w:val="222222"/>
          <w:sz w:val="22"/>
          <w:szCs w:val="22"/>
        </w:rPr>
        <w:t>Th</w:t>
      </w:r>
      <w:r w:rsidR="0B07621D" w:rsidRPr="00512B6E">
        <w:rPr>
          <w:rFonts w:asciiTheme="majorHAnsi" w:hAnsiTheme="majorHAnsi" w:cstheme="majorHAnsi"/>
          <w:color w:val="222222"/>
          <w:sz w:val="22"/>
          <w:szCs w:val="22"/>
        </w:rPr>
        <w:t>at being said, the metric for</w:t>
      </w:r>
      <w:r w:rsidR="7536DBC7" w:rsidRPr="00512B6E">
        <w:rPr>
          <w:rFonts w:asciiTheme="majorHAnsi" w:hAnsiTheme="majorHAnsi" w:cstheme="majorHAnsi"/>
          <w:color w:val="222222"/>
          <w:sz w:val="22"/>
          <w:szCs w:val="22"/>
        </w:rPr>
        <w:t xml:space="preserve"> measuring inequality in Target 10.1</w:t>
      </w:r>
      <w:r w:rsidR="0B07621D" w:rsidRPr="00512B6E">
        <w:rPr>
          <w:rFonts w:asciiTheme="majorHAnsi" w:hAnsiTheme="majorHAnsi" w:cstheme="majorHAnsi"/>
          <w:color w:val="222222"/>
          <w:sz w:val="22"/>
          <w:szCs w:val="22"/>
        </w:rPr>
        <w:t xml:space="preserve"> has</w:t>
      </w:r>
      <w:r w:rsidR="3A28F97C" w:rsidRPr="00512B6E">
        <w:rPr>
          <w:rFonts w:asciiTheme="majorHAnsi" w:hAnsiTheme="majorHAnsi" w:cstheme="majorHAnsi"/>
          <w:color w:val="222222"/>
          <w:sz w:val="22"/>
          <w:szCs w:val="22"/>
        </w:rPr>
        <w:t xml:space="preserve"> </w:t>
      </w:r>
      <w:r w:rsidR="77FEF0A9" w:rsidRPr="00512B6E">
        <w:rPr>
          <w:rFonts w:asciiTheme="majorHAnsi" w:hAnsiTheme="majorHAnsi" w:cstheme="majorHAnsi"/>
          <w:color w:val="222222"/>
          <w:sz w:val="22"/>
          <w:szCs w:val="22"/>
        </w:rPr>
        <w:t xml:space="preserve">potential </w:t>
      </w:r>
      <w:r w:rsidR="3A28F97C" w:rsidRPr="00512B6E">
        <w:rPr>
          <w:rFonts w:asciiTheme="majorHAnsi" w:hAnsiTheme="majorHAnsi" w:cstheme="majorHAnsi"/>
          <w:color w:val="222222"/>
          <w:sz w:val="22"/>
          <w:szCs w:val="22"/>
        </w:rPr>
        <w:t>descriptive drawbacks</w:t>
      </w:r>
      <w:r w:rsidR="7536DBC7" w:rsidRPr="00512B6E">
        <w:rPr>
          <w:rFonts w:asciiTheme="majorHAnsi" w:hAnsiTheme="majorHAnsi" w:cstheme="majorHAnsi"/>
          <w:color w:val="222222"/>
          <w:sz w:val="22"/>
          <w:szCs w:val="22"/>
        </w:rPr>
        <w:t xml:space="preserve">. </w:t>
      </w:r>
      <w:r w:rsidR="00031C96" w:rsidRPr="00512B6E">
        <w:rPr>
          <w:rFonts w:asciiTheme="majorHAnsi" w:hAnsiTheme="majorHAnsi" w:cstheme="majorHAnsi"/>
          <w:color w:val="222222"/>
          <w:sz w:val="22"/>
          <w:szCs w:val="22"/>
        </w:rPr>
        <w:t>By ensuring that the bottom 40</w:t>
      </w:r>
      <w:r w:rsidR="0078154A">
        <w:rPr>
          <w:rFonts w:asciiTheme="majorHAnsi" w:hAnsiTheme="majorHAnsi" w:cstheme="majorHAnsi"/>
          <w:color w:val="222222"/>
          <w:sz w:val="22"/>
          <w:szCs w:val="22"/>
        </w:rPr>
        <w:t xml:space="preserve"> percent</w:t>
      </w:r>
      <w:r w:rsidR="00031C96" w:rsidRPr="00512B6E">
        <w:rPr>
          <w:rFonts w:asciiTheme="majorHAnsi" w:hAnsiTheme="majorHAnsi" w:cstheme="majorHAnsi"/>
          <w:color w:val="222222"/>
          <w:sz w:val="22"/>
          <w:szCs w:val="22"/>
        </w:rPr>
        <w:t xml:space="preserve"> do not lose out, the target clearly</w:t>
      </w:r>
      <w:r w:rsidR="00605ADC" w:rsidRPr="00512B6E">
        <w:rPr>
          <w:rFonts w:asciiTheme="majorHAnsi" w:hAnsiTheme="majorHAnsi" w:cstheme="majorHAnsi"/>
          <w:color w:val="222222"/>
          <w:sz w:val="22"/>
          <w:szCs w:val="22"/>
        </w:rPr>
        <w:t xml:space="preserve"> reflects the SDG principle to ‘leave no one behind’</w:t>
      </w:r>
      <w:r w:rsidR="00031C96" w:rsidRPr="00512B6E">
        <w:rPr>
          <w:rFonts w:asciiTheme="majorHAnsi" w:hAnsiTheme="majorHAnsi" w:cstheme="majorHAnsi"/>
          <w:color w:val="222222"/>
          <w:sz w:val="22"/>
          <w:szCs w:val="22"/>
        </w:rPr>
        <w:t xml:space="preserve">. However, the indicator is blind to changes at the apex of the distribution (in situations where top </w:t>
      </w:r>
      <w:r w:rsidR="0E437BC2" w:rsidRPr="00512B6E">
        <w:rPr>
          <w:rFonts w:asciiTheme="majorHAnsi" w:hAnsiTheme="majorHAnsi" w:cstheme="majorHAnsi"/>
          <w:color w:val="222222"/>
          <w:sz w:val="22"/>
          <w:szCs w:val="22"/>
        </w:rPr>
        <w:t>earners'</w:t>
      </w:r>
      <w:r w:rsidR="00031C96" w:rsidRPr="00512B6E">
        <w:rPr>
          <w:rFonts w:asciiTheme="majorHAnsi" w:hAnsiTheme="majorHAnsi" w:cstheme="majorHAnsi"/>
          <w:color w:val="222222"/>
          <w:sz w:val="22"/>
          <w:szCs w:val="22"/>
        </w:rPr>
        <w:t xml:space="preserve"> and bottom </w:t>
      </w:r>
      <w:r w:rsidR="0E437BC2" w:rsidRPr="00512B6E">
        <w:rPr>
          <w:rFonts w:asciiTheme="majorHAnsi" w:hAnsiTheme="majorHAnsi" w:cstheme="majorHAnsi"/>
          <w:color w:val="222222"/>
          <w:sz w:val="22"/>
          <w:szCs w:val="22"/>
        </w:rPr>
        <w:t xml:space="preserve">earners' incomes </w:t>
      </w:r>
      <w:r w:rsidR="00031C96" w:rsidRPr="00512B6E">
        <w:rPr>
          <w:rFonts w:asciiTheme="majorHAnsi" w:hAnsiTheme="majorHAnsi" w:cstheme="majorHAnsi"/>
          <w:color w:val="222222"/>
          <w:sz w:val="22"/>
          <w:szCs w:val="22"/>
        </w:rPr>
        <w:t xml:space="preserve">grow while the middle shrinks, for instance). </w:t>
      </w:r>
      <w:r w:rsidR="1004CB82" w:rsidRPr="00512B6E">
        <w:rPr>
          <w:rFonts w:asciiTheme="majorHAnsi" w:hAnsiTheme="majorHAnsi" w:cstheme="majorHAnsi"/>
          <w:color w:val="222222"/>
          <w:sz w:val="22"/>
          <w:szCs w:val="22"/>
        </w:rPr>
        <w:t xml:space="preserve">This amounts to more than an innocuous oversight. </w:t>
      </w:r>
      <w:hyperlink r:id="rId10" w:history="1">
        <w:r w:rsidR="00672CDA" w:rsidRPr="00E54030">
          <w:rPr>
            <w:rStyle w:val="Lienhypertexte"/>
            <w:rFonts w:asciiTheme="majorHAnsi" w:hAnsiTheme="majorHAnsi" w:cstheme="majorHAnsi"/>
            <w:sz w:val="22"/>
            <w:szCs w:val="22"/>
          </w:rPr>
          <w:t>R</w:t>
        </w:r>
        <w:r w:rsidR="00031C96" w:rsidRPr="00E54030">
          <w:rPr>
            <w:rStyle w:val="Lienhypertexte"/>
            <w:rFonts w:asciiTheme="majorHAnsi" w:hAnsiTheme="majorHAnsi" w:cstheme="majorHAnsi"/>
            <w:sz w:val="22"/>
            <w:szCs w:val="22"/>
          </w:rPr>
          <w:t>ising top income shares</w:t>
        </w:r>
      </w:hyperlink>
      <w:r w:rsidR="00031C96" w:rsidRPr="00512B6E">
        <w:rPr>
          <w:rFonts w:asciiTheme="majorHAnsi" w:hAnsiTheme="majorHAnsi" w:cstheme="majorHAnsi"/>
          <w:color w:val="222222"/>
          <w:sz w:val="22"/>
          <w:szCs w:val="22"/>
        </w:rPr>
        <w:t xml:space="preserve"> </w:t>
      </w:r>
      <w:r w:rsidR="4F36D990" w:rsidRPr="00512B6E">
        <w:rPr>
          <w:rFonts w:asciiTheme="majorHAnsi" w:hAnsiTheme="majorHAnsi" w:cstheme="majorHAnsi"/>
          <w:color w:val="222222"/>
          <w:sz w:val="22"/>
          <w:szCs w:val="22"/>
        </w:rPr>
        <w:t>drove income inequality dynamics in the past decades</w:t>
      </w:r>
      <w:r w:rsidR="0078154A">
        <w:rPr>
          <w:rFonts w:asciiTheme="majorHAnsi" w:hAnsiTheme="majorHAnsi" w:cstheme="majorHAnsi"/>
          <w:color w:val="222222"/>
          <w:sz w:val="22"/>
          <w:szCs w:val="22"/>
        </w:rPr>
        <w:t>.</w:t>
      </w:r>
    </w:p>
    <w:p w14:paraId="77C90372" w14:textId="7A8EC028" w:rsidR="00FC4D14" w:rsidRPr="00512B6E" w:rsidRDefault="00FC4D14" w:rsidP="00C01041">
      <w:pPr>
        <w:autoSpaceDE w:val="0"/>
        <w:autoSpaceDN w:val="0"/>
        <w:adjustRightInd w:val="0"/>
        <w:rPr>
          <w:rFonts w:asciiTheme="majorHAnsi" w:hAnsiTheme="majorHAnsi" w:cstheme="majorHAnsi"/>
          <w:color w:val="222222"/>
          <w:sz w:val="22"/>
          <w:szCs w:val="22"/>
        </w:rPr>
      </w:pPr>
    </w:p>
    <w:p w14:paraId="3FF34F47" w14:textId="3E1EAFB8" w:rsidR="005D3B73" w:rsidRPr="00512B6E" w:rsidRDefault="00512B6E" w:rsidP="00C01041">
      <w:pPr>
        <w:shd w:val="clear" w:color="auto" w:fill="FFFFFF" w:themeFill="background1"/>
        <w:jc w:val="both"/>
        <w:rPr>
          <w:rFonts w:asciiTheme="majorHAnsi" w:hAnsiTheme="majorHAnsi" w:cstheme="majorHAnsi"/>
          <w:color w:val="222222"/>
          <w:sz w:val="22"/>
          <w:szCs w:val="22"/>
        </w:rPr>
      </w:pPr>
      <w:r w:rsidRPr="00512B6E">
        <w:rPr>
          <w:rFonts w:asciiTheme="majorHAnsi" w:hAnsiTheme="majorHAnsi" w:cstheme="majorHAnsi"/>
          <w:color w:val="222222"/>
          <w:sz w:val="22"/>
          <w:szCs w:val="22"/>
        </w:rPr>
        <w:t>Table 1</w:t>
      </w:r>
      <w:r w:rsidR="008E2882" w:rsidRPr="00512B6E">
        <w:rPr>
          <w:rFonts w:asciiTheme="majorHAnsi" w:hAnsiTheme="majorHAnsi" w:cstheme="majorHAnsi"/>
          <w:color w:val="222222"/>
          <w:sz w:val="22"/>
          <w:szCs w:val="22"/>
        </w:rPr>
        <w:t xml:space="preserve"> shows the performance of three countries (China, France, USA) on the SDG target</w:t>
      </w:r>
      <w:r w:rsidR="00AE27C9" w:rsidRPr="00512B6E">
        <w:rPr>
          <w:rFonts w:asciiTheme="majorHAnsi" w:hAnsiTheme="majorHAnsi" w:cstheme="majorHAnsi"/>
          <w:color w:val="222222"/>
          <w:sz w:val="22"/>
          <w:szCs w:val="22"/>
        </w:rPr>
        <w:t xml:space="preserve">, over the past 15 years (2000-2015 period) and </w:t>
      </w:r>
      <w:r w:rsidR="00E47E34" w:rsidRPr="00512B6E">
        <w:rPr>
          <w:rFonts w:asciiTheme="majorHAnsi" w:hAnsiTheme="majorHAnsi" w:cstheme="majorHAnsi"/>
          <w:color w:val="222222"/>
          <w:sz w:val="22"/>
          <w:szCs w:val="22"/>
        </w:rPr>
        <w:t>in the longer run (19</w:t>
      </w:r>
      <w:r w:rsidR="00943D67" w:rsidRPr="00512B6E">
        <w:rPr>
          <w:rFonts w:asciiTheme="majorHAnsi" w:hAnsiTheme="majorHAnsi" w:cstheme="majorHAnsi"/>
          <w:color w:val="222222"/>
          <w:sz w:val="22"/>
          <w:szCs w:val="22"/>
        </w:rPr>
        <w:t>80</w:t>
      </w:r>
      <w:r w:rsidR="00E47E34" w:rsidRPr="00512B6E">
        <w:rPr>
          <w:rFonts w:asciiTheme="majorHAnsi" w:hAnsiTheme="majorHAnsi" w:cstheme="majorHAnsi"/>
          <w:color w:val="222222"/>
          <w:sz w:val="22"/>
          <w:szCs w:val="22"/>
        </w:rPr>
        <w:t>-2015</w:t>
      </w:r>
      <w:r w:rsidR="005D3B73" w:rsidRPr="00512B6E">
        <w:rPr>
          <w:rFonts w:asciiTheme="majorHAnsi" w:hAnsiTheme="majorHAnsi" w:cstheme="majorHAnsi"/>
          <w:color w:val="222222"/>
          <w:sz w:val="22"/>
          <w:szCs w:val="22"/>
        </w:rPr>
        <w:t xml:space="preserve">, time span with </w:t>
      </w:r>
      <w:r w:rsidR="005D3B73" w:rsidRPr="00512B6E">
        <w:rPr>
          <w:rFonts w:asciiTheme="majorHAnsi" w:hAnsiTheme="majorHAnsi" w:cstheme="majorHAnsi"/>
          <w:color w:val="222222"/>
          <w:sz w:val="22"/>
          <w:szCs w:val="22"/>
        </w:rPr>
        <w:lastRenderedPageBreak/>
        <w:t>available and comparable data</w:t>
      </w:r>
      <w:r w:rsidR="00E47E34" w:rsidRPr="00512B6E">
        <w:rPr>
          <w:rFonts w:asciiTheme="majorHAnsi" w:hAnsiTheme="majorHAnsi" w:cstheme="majorHAnsi"/>
          <w:color w:val="222222"/>
          <w:sz w:val="22"/>
          <w:szCs w:val="22"/>
        </w:rPr>
        <w:t xml:space="preserve">). </w:t>
      </w:r>
      <w:r w:rsidR="007509B9" w:rsidRPr="00512B6E">
        <w:rPr>
          <w:rFonts w:asciiTheme="majorHAnsi" w:hAnsiTheme="majorHAnsi" w:cstheme="majorHAnsi"/>
          <w:color w:val="222222"/>
          <w:sz w:val="22"/>
          <w:szCs w:val="22"/>
        </w:rPr>
        <w:t>A</w:t>
      </w:r>
      <w:r w:rsidR="78C53AD3" w:rsidRPr="00512B6E">
        <w:rPr>
          <w:rFonts w:asciiTheme="majorHAnsi" w:eastAsia="Arial" w:hAnsiTheme="majorHAnsi" w:cstheme="majorHAnsi"/>
          <w:color w:val="222222"/>
          <w:sz w:val="22"/>
          <w:szCs w:val="22"/>
        </w:rPr>
        <w:t>ll three</w:t>
      </w:r>
      <w:r w:rsidR="00A22944" w:rsidRPr="00512B6E">
        <w:rPr>
          <w:rFonts w:asciiTheme="majorHAnsi" w:eastAsia="Arial" w:hAnsiTheme="majorHAnsi" w:cstheme="majorHAnsi"/>
          <w:color w:val="222222"/>
          <w:sz w:val="22"/>
          <w:szCs w:val="22"/>
        </w:rPr>
        <w:t xml:space="preserve"> countries considered failed</w:t>
      </w:r>
      <w:r w:rsidR="00A22944" w:rsidRPr="00512B6E">
        <w:rPr>
          <w:rFonts w:asciiTheme="majorHAnsi" w:hAnsiTheme="majorHAnsi" w:cstheme="majorHAnsi"/>
          <w:color w:val="222222"/>
          <w:sz w:val="22"/>
          <w:szCs w:val="22"/>
        </w:rPr>
        <w:t xml:space="preserve"> to </w:t>
      </w:r>
      <w:r w:rsidR="00A22944" w:rsidRPr="00512B6E">
        <w:rPr>
          <w:rFonts w:asciiTheme="majorHAnsi" w:eastAsia="Arial" w:hAnsiTheme="majorHAnsi" w:cstheme="majorHAnsi"/>
          <w:color w:val="222222"/>
          <w:sz w:val="22"/>
          <w:szCs w:val="22"/>
        </w:rPr>
        <w:t xml:space="preserve">meet the </w:t>
      </w:r>
      <w:r w:rsidR="0C05A32C" w:rsidRPr="00512B6E">
        <w:rPr>
          <w:rFonts w:asciiTheme="majorHAnsi" w:eastAsia="Arial" w:hAnsiTheme="majorHAnsi" w:cstheme="majorHAnsi"/>
          <w:color w:val="222222"/>
          <w:sz w:val="22"/>
          <w:szCs w:val="22"/>
        </w:rPr>
        <w:t xml:space="preserve">SDG </w:t>
      </w:r>
      <w:r w:rsidR="00A22944" w:rsidRPr="00512B6E">
        <w:rPr>
          <w:rFonts w:asciiTheme="majorHAnsi" w:eastAsia="Arial" w:hAnsiTheme="majorHAnsi" w:cstheme="majorHAnsi"/>
          <w:color w:val="222222"/>
          <w:sz w:val="22"/>
          <w:szCs w:val="22"/>
        </w:rPr>
        <w:t>target 10.1</w:t>
      </w:r>
      <w:r w:rsidR="4B026A6C" w:rsidRPr="00512B6E">
        <w:rPr>
          <w:rFonts w:asciiTheme="majorHAnsi" w:eastAsia="Arial" w:hAnsiTheme="majorHAnsi" w:cstheme="majorHAnsi"/>
          <w:color w:val="222222"/>
          <w:sz w:val="22"/>
          <w:szCs w:val="22"/>
        </w:rPr>
        <w:t>.</w:t>
      </w:r>
      <w:r w:rsidR="492F95A6" w:rsidRPr="00512B6E">
        <w:rPr>
          <w:rFonts w:asciiTheme="majorHAnsi" w:eastAsia="Arial" w:hAnsiTheme="majorHAnsi" w:cstheme="majorHAnsi"/>
          <w:color w:val="222222"/>
          <w:sz w:val="22"/>
          <w:szCs w:val="22"/>
        </w:rPr>
        <w:t xml:space="preserve"> </w:t>
      </w:r>
      <w:r w:rsidR="772AFC07" w:rsidRPr="00512B6E">
        <w:rPr>
          <w:rFonts w:asciiTheme="majorHAnsi" w:eastAsia="Arial" w:hAnsiTheme="majorHAnsi" w:cstheme="majorHAnsi"/>
          <w:color w:val="222222"/>
          <w:sz w:val="22"/>
          <w:szCs w:val="22"/>
        </w:rPr>
        <w:t xml:space="preserve">Still, the target remains </w:t>
      </w:r>
      <w:r w:rsidR="32E76458" w:rsidRPr="00512B6E">
        <w:rPr>
          <w:rFonts w:asciiTheme="majorHAnsi" w:eastAsia="Arial" w:hAnsiTheme="majorHAnsi" w:cstheme="majorHAnsi"/>
          <w:color w:val="222222"/>
          <w:sz w:val="22"/>
          <w:szCs w:val="22"/>
        </w:rPr>
        <w:t>feasible</w:t>
      </w:r>
      <w:r w:rsidR="772AFC07" w:rsidRPr="00512B6E">
        <w:rPr>
          <w:rFonts w:asciiTheme="majorHAnsi" w:eastAsia="Arial" w:hAnsiTheme="majorHAnsi" w:cstheme="majorHAnsi"/>
          <w:color w:val="222222"/>
          <w:sz w:val="22"/>
          <w:szCs w:val="22"/>
        </w:rPr>
        <w:t xml:space="preserve">. </w:t>
      </w:r>
      <w:r w:rsidR="0C05A32C" w:rsidRPr="00512B6E">
        <w:rPr>
          <w:rFonts w:asciiTheme="majorHAnsi" w:eastAsia="Arial" w:hAnsiTheme="majorHAnsi" w:cstheme="majorHAnsi"/>
          <w:color w:val="222222"/>
          <w:sz w:val="22"/>
          <w:szCs w:val="22"/>
        </w:rPr>
        <w:t xml:space="preserve">France </w:t>
      </w:r>
      <w:r w:rsidR="772AFC07" w:rsidRPr="00512B6E">
        <w:rPr>
          <w:rFonts w:asciiTheme="majorHAnsi" w:eastAsia="Arial" w:hAnsiTheme="majorHAnsi" w:cstheme="majorHAnsi"/>
          <w:color w:val="222222"/>
          <w:sz w:val="22"/>
          <w:szCs w:val="22"/>
        </w:rPr>
        <w:t xml:space="preserve">came very close to achieving the target </w:t>
      </w:r>
      <w:r w:rsidR="0C05A32C" w:rsidRPr="00512B6E">
        <w:rPr>
          <w:rFonts w:asciiTheme="majorHAnsi" w:eastAsia="Arial" w:hAnsiTheme="majorHAnsi" w:cstheme="majorHAnsi"/>
          <w:color w:val="222222"/>
          <w:sz w:val="22"/>
          <w:szCs w:val="22"/>
        </w:rPr>
        <w:t>over the 19</w:t>
      </w:r>
      <w:r w:rsidR="00943D67" w:rsidRPr="00512B6E">
        <w:rPr>
          <w:rFonts w:asciiTheme="majorHAnsi" w:eastAsia="Arial" w:hAnsiTheme="majorHAnsi" w:cstheme="majorHAnsi"/>
          <w:color w:val="222222"/>
          <w:sz w:val="22"/>
          <w:szCs w:val="22"/>
        </w:rPr>
        <w:t>80</w:t>
      </w:r>
      <w:r w:rsidR="0C05A32C" w:rsidRPr="00512B6E">
        <w:rPr>
          <w:rFonts w:asciiTheme="majorHAnsi" w:eastAsia="Arial" w:hAnsiTheme="majorHAnsi" w:cstheme="majorHAnsi"/>
          <w:color w:val="222222"/>
          <w:sz w:val="22"/>
          <w:szCs w:val="22"/>
        </w:rPr>
        <w:t>-2015 period</w:t>
      </w:r>
      <w:r w:rsidR="772AFC07" w:rsidRPr="00512B6E">
        <w:rPr>
          <w:rFonts w:asciiTheme="majorHAnsi" w:eastAsia="Arial" w:hAnsiTheme="majorHAnsi" w:cstheme="majorHAnsi"/>
          <w:color w:val="222222"/>
          <w:sz w:val="22"/>
          <w:szCs w:val="22"/>
        </w:rPr>
        <w:t xml:space="preserve">, </w:t>
      </w:r>
      <w:r w:rsidR="32E76458" w:rsidRPr="00512B6E">
        <w:rPr>
          <w:rFonts w:asciiTheme="majorHAnsi" w:eastAsia="Arial" w:hAnsiTheme="majorHAnsi" w:cstheme="majorHAnsi"/>
          <w:color w:val="222222"/>
          <w:sz w:val="22"/>
          <w:szCs w:val="22"/>
        </w:rPr>
        <w:t>for example.</w:t>
      </w:r>
      <w:r w:rsidR="005D3B73" w:rsidRPr="00512B6E">
        <w:rPr>
          <w:rFonts w:asciiTheme="majorHAnsi" w:hAnsiTheme="majorHAnsi" w:cstheme="majorHAnsi"/>
          <w:b/>
          <w:bCs/>
          <w:color w:val="222222"/>
          <w:sz w:val="22"/>
          <w:szCs w:val="22"/>
        </w:rPr>
        <w:t xml:space="preserve"> </w:t>
      </w:r>
      <w:r w:rsidR="005D3B73" w:rsidRPr="00512B6E">
        <w:rPr>
          <w:rFonts w:asciiTheme="majorHAnsi" w:hAnsiTheme="majorHAnsi" w:cstheme="majorHAnsi"/>
          <w:color w:val="222222"/>
          <w:sz w:val="22"/>
          <w:szCs w:val="22"/>
        </w:rPr>
        <w:t>In France, over the 19</w:t>
      </w:r>
      <w:r w:rsidR="00943D67" w:rsidRPr="00512B6E">
        <w:rPr>
          <w:rFonts w:asciiTheme="majorHAnsi" w:hAnsiTheme="majorHAnsi" w:cstheme="majorHAnsi"/>
          <w:color w:val="222222"/>
          <w:sz w:val="22"/>
          <w:szCs w:val="22"/>
        </w:rPr>
        <w:t>80</w:t>
      </w:r>
      <w:r w:rsidR="005D3B73" w:rsidRPr="00512B6E">
        <w:rPr>
          <w:rFonts w:asciiTheme="majorHAnsi" w:hAnsiTheme="majorHAnsi" w:cstheme="majorHAnsi"/>
          <w:color w:val="222222"/>
          <w:sz w:val="22"/>
          <w:szCs w:val="22"/>
        </w:rPr>
        <w:t xml:space="preserve">-2015 period, the bottom 40% </w:t>
      </w:r>
      <w:r w:rsidR="00F961E0" w:rsidRPr="00512B6E">
        <w:rPr>
          <w:rFonts w:asciiTheme="majorHAnsi" w:hAnsiTheme="majorHAnsi" w:cstheme="majorHAnsi"/>
          <w:color w:val="222222"/>
          <w:sz w:val="22"/>
          <w:szCs w:val="22"/>
        </w:rPr>
        <w:t xml:space="preserve">is not far from average growth </w:t>
      </w:r>
      <w:r w:rsidR="005D3B73" w:rsidRPr="00512B6E">
        <w:rPr>
          <w:rFonts w:asciiTheme="majorHAnsi" w:hAnsiTheme="majorHAnsi" w:cstheme="majorHAnsi"/>
          <w:color w:val="222222"/>
          <w:sz w:val="22"/>
          <w:szCs w:val="22"/>
        </w:rPr>
        <w:t xml:space="preserve">but the top 0.1% earners enjoy a growth rate that is </w:t>
      </w:r>
      <w:r w:rsidR="00A64E05" w:rsidRPr="00512B6E">
        <w:rPr>
          <w:rFonts w:asciiTheme="majorHAnsi" w:hAnsiTheme="majorHAnsi" w:cstheme="majorHAnsi"/>
          <w:color w:val="222222"/>
          <w:sz w:val="22"/>
          <w:szCs w:val="22"/>
        </w:rPr>
        <w:t xml:space="preserve">more than </w:t>
      </w:r>
      <w:r w:rsidR="00F961E0" w:rsidRPr="00512B6E">
        <w:rPr>
          <w:rFonts w:asciiTheme="majorHAnsi" w:hAnsiTheme="majorHAnsi" w:cstheme="majorHAnsi"/>
          <w:color w:val="222222"/>
          <w:sz w:val="22"/>
          <w:szCs w:val="22"/>
        </w:rPr>
        <w:t xml:space="preserve">five </w:t>
      </w:r>
      <w:r w:rsidR="00A64E05" w:rsidRPr="00512B6E">
        <w:rPr>
          <w:rFonts w:asciiTheme="majorHAnsi" w:hAnsiTheme="majorHAnsi" w:cstheme="majorHAnsi"/>
          <w:color w:val="222222"/>
          <w:sz w:val="22"/>
          <w:szCs w:val="22"/>
        </w:rPr>
        <w:t xml:space="preserve">times </w:t>
      </w:r>
      <w:r w:rsidR="003D6CD5" w:rsidRPr="00512B6E">
        <w:rPr>
          <w:rFonts w:asciiTheme="majorHAnsi" w:hAnsiTheme="majorHAnsi" w:cstheme="majorHAnsi"/>
          <w:color w:val="222222"/>
          <w:sz w:val="22"/>
          <w:szCs w:val="22"/>
        </w:rPr>
        <w:t>higher</w:t>
      </w:r>
      <w:r w:rsidR="00A64E05" w:rsidRPr="00512B6E">
        <w:rPr>
          <w:rFonts w:asciiTheme="majorHAnsi" w:hAnsiTheme="majorHAnsi" w:cstheme="majorHAnsi"/>
          <w:color w:val="222222"/>
          <w:sz w:val="22"/>
          <w:szCs w:val="22"/>
        </w:rPr>
        <w:t xml:space="preserve">. </w:t>
      </w:r>
      <w:r w:rsidR="003F62D3" w:rsidRPr="00512B6E">
        <w:rPr>
          <w:rFonts w:asciiTheme="majorHAnsi" w:hAnsiTheme="majorHAnsi" w:cstheme="majorHAnsi"/>
          <w:color w:val="222222"/>
          <w:sz w:val="22"/>
          <w:szCs w:val="22"/>
        </w:rPr>
        <w:t xml:space="preserve">In China </w:t>
      </w:r>
      <w:r w:rsidR="32E76458" w:rsidRPr="00512B6E">
        <w:rPr>
          <w:rFonts w:asciiTheme="majorHAnsi" w:hAnsiTheme="majorHAnsi" w:cstheme="majorHAnsi"/>
          <w:color w:val="222222"/>
          <w:sz w:val="22"/>
          <w:szCs w:val="22"/>
        </w:rPr>
        <w:t>and</w:t>
      </w:r>
      <w:r w:rsidR="003F62D3" w:rsidRPr="00512B6E">
        <w:rPr>
          <w:rFonts w:asciiTheme="majorHAnsi" w:hAnsiTheme="majorHAnsi" w:cstheme="majorHAnsi"/>
          <w:color w:val="222222"/>
          <w:sz w:val="22"/>
          <w:szCs w:val="22"/>
        </w:rPr>
        <w:t xml:space="preserve"> the USA as well, the gap between average growth rate and top 0.1% income growth rate (respectively </w:t>
      </w:r>
      <w:r w:rsidR="00091D4E" w:rsidRPr="00512B6E">
        <w:rPr>
          <w:rFonts w:asciiTheme="majorHAnsi" w:hAnsiTheme="majorHAnsi" w:cstheme="majorHAnsi"/>
          <w:color w:val="222222"/>
          <w:sz w:val="22"/>
          <w:szCs w:val="22"/>
        </w:rPr>
        <w:t>776</w:t>
      </w:r>
      <w:r w:rsidR="00F961E0" w:rsidRPr="00512B6E">
        <w:rPr>
          <w:rFonts w:asciiTheme="majorHAnsi" w:hAnsiTheme="majorHAnsi" w:cstheme="majorHAnsi"/>
          <w:color w:val="222222"/>
          <w:sz w:val="22"/>
          <w:szCs w:val="22"/>
        </w:rPr>
        <w:t xml:space="preserve"> </w:t>
      </w:r>
      <w:r w:rsidR="003F62D3" w:rsidRPr="00512B6E">
        <w:rPr>
          <w:rFonts w:asciiTheme="majorHAnsi" w:hAnsiTheme="majorHAnsi" w:cstheme="majorHAnsi"/>
          <w:color w:val="222222"/>
          <w:sz w:val="22"/>
          <w:szCs w:val="22"/>
        </w:rPr>
        <w:t xml:space="preserve">% vs. </w:t>
      </w:r>
      <w:r w:rsidR="00091D4E" w:rsidRPr="00512B6E">
        <w:rPr>
          <w:rFonts w:asciiTheme="majorHAnsi" w:hAnsiTheme="majorHAnsi" w:cstheme="majorHAnsi"/>
          <w:color w:val="222222"/>
          <w:sz w:val="22"/>
          <w:szCs w:val="22"/>
        </w:rPr>
        <w:t>227</w:t>
      </w:r>
      <w:r w:rsidR="00F961E0" w:rsidRPr="00512B6E">
        <w:rPr>
          <w:rFonts w:asciiTheme="majorHAnsi" w:hAnsiTheme="majorHAnsi" w:cstheme="majorHAnsi"/>
          <w:color w:val="222222"/>
          <w:sz w:val="22"/>
          <w:szCs w:val="22"/>
        </w:rPr>
        <w:t>1</w:t>
      </w:r>
      <w:r w:rsidR="003F62D3" w:rsidRPr="00512B6E">
        <w:rPr>
          <w:rFonts w:asciiTheme="majorHAnsi" w:hAnsiTheme="majorHAnsi" w:cstheme="majorHAnsi"/>
          <w:color w:val="222222"/>
          <w:sz w:val="22"/>
          <w:szCs w:val="22"/>
        </w:rPr>
        <w:t xml:space="preserve">% and </w:t>
      </w:r>
      <w:r w:rsidR="00091D4E" w:rsidRPr="00512B6E">
        <w:rPr>
          <w:rFonts w:asciiTheme="majorHAnsi" w:hAnsiTheme="majorHAnsi" w:cstheme="majorHAnsi"/>
          <w:color w:val="222222"/>
          <w:sz w:val="22"/>
          <w:szCs w:val="22"/>
        </w:rPr>
        <w:t>70</w:t>
      </w:r>
      <w:r w:rsidR="003F62D3" w:rsidRPr="00512B6E">
        <w:rPr>
          <w:rFonts w:asciiTheme="majorHAnsi" w:hAnsiTheme="majorHAnsi" w:cstheme="majorHAnsi"/>
          <w:color w:val="222222"/>
          <w:sz w:val="22"/>
          <w:szCs w:val="22"/>
        </w:rPr>
        <w:t xml:space="preserve">% vs. </w:t>
      </w:r>
      <w:r w:rsidR="00092957" w:rsidRPr="00512B6E">
        <w:rPr>
          <w:rFonts w:asciiTheme="majorHAnsi" w:hAnsiTheme="majorHAnsi" w:cstheme="majorHAnsi"/>
          <w:color w:val="222222"/>
          <w:sz w:val="22"/>
          <w:szCs w:val="22"/>
        </w:rPr>
        <w:t>3</w:t>
      </w:r>
      <w:r w:rsidR="00091D4E" w:rsidRPr="00512B6E">
        <w:rPr>
          <w:rFonts w:asciiTheme="majorHAnsi" w:hAnsiTheme="majorHAnsi" w:cstheme="majorHAnsi"/>
          <w:color w:val="222222"/>
          <w:sz w:val="22"/>
          <w:szCs w:val="22"/>
        </w:rPr>
        <w:t>43</w:t>
      </w:r>
      <w:r w:rsidR="00F961E0" w:rsidRPr="00512B6E">
        <w:rPr>
          <w:rFonts w:asciiTheme="majorHAnsi" w:hAnsiTheme="majorHAnsi" w:cstheme="majorHAnsi"/>
          <w:color w:val="222222"/>
          <w:sz w:val="22"/>
          <w:szCs w:val="22"/>
        </w:rPr>
        <w:t xml:space="preserve">% </w:t>
      </w:r>
      <w:r w:rsidR="003D6CD5" w:rsidRPr="00512B6E">
        <w:rPr>
          <w:rFonts w:asciiTheme="majorHAnsi" w:hAnsiTheme="majorHAnsi" w:cstheme="majorHAnsi"/>
          <w:color w:val="222222"/>
          <w:sz w:val="22"/>
          <w:szCs w:val="22"/>
        </w:rPr>
        <w:t>for the 19</w:t>
      </w:r>
      <w:r w:rsidR="003F62D3" w:rsidRPr="00512B6E">
        <w:rPr>
          <w:rFonts w:asciiTheme="majorHAnsi" w:hAnsiTheme="majorHAnsi" w:cstheme="majorHAnsi"/>
          <w:color w:val="222222"/>
          <w:sz w:val="22"/>
          <w:szCs w:val="22"/>
        </w:rPr>
        <w:t>8</w:t>
      </w:r>
      <w:r w:rsidR="003D6CD5" w:rsidRPr="00512B6E">
        <w:rPr>
          <w:rFonts w:asciiTheme="majorHAnsi" w:hAnsiTheme="majorHAnsi" w:cstheme="majorHAnsi"/>
          <w:color w:val="222222"/>
          <w:sz w:val="22"/>
          <w:szCs w:val="22"/>
        </w:rPr>
        <w:t>0</w:t>
      </w:r>
      <w:r w:rsidR="003F62D3" w:rsidRPr="00512B6E">
        <w:rPr>
          <w:rFonts w:asciiTheme="majorHAnsi" w:hAnsiTheme="majorHAnsi" w:cstheme="majorHAnsi"/>
          <w:color w:val="222222"/>
          <w:sz w:val="22"/>
          <w:szCs w:val="22"/>
        </w:rPr>
        <w:t>-2015</w:t>
      </w:r>
      <w:r w:rsidR="0078154A">
        <w:rPr>
          <w:rFonts w:asciiTheme="majorHAnsi" w:hAnsiTheme="majorHAnsi" w:cstheme="majorHAnsi"/>
          <w:color w:val="222222"/>
          <w:sz w:val="22"/>
          <w:szCs w:val="22"/>
        </w:rPr>
        <w:t xml:space="preserve"> </w:t>
      </w:r>
      <w:r w:rsidR="003F62D3" w:rsidRPr="00512B6E">
        <w:rPr>
          <w:rFonts w:asciiTheme="majorHAnsi" w:hAnsiTheme="majorHAnsi" w:cstheme="majorHAnsi"/>
          <w:color w:val="222222"/>
          <w:sz w:val="22"/>
          <w:szCs w:val="22"/>
        </w:rPr>
        <w:t>time period) shows the need to complement the bottom 40% target</w:t>
      </w:r>
      <w:r w:rsidR="00F961E0" w:rsidRPr="00512B6E">
        <w:rPr>
          <w:rFonts w:asciiTheme="majorHAnsi" w:hAnsiTheme="majorHAnsi" w:cstheme="majorHAnsi"/>
          <w:color w:val="222222"/>
          <w:sz w:val="22"/>
          <w:szCs w:val="22"/>
        </w:rPr>
        <w:t>.</w:t>
      </w:r>
    </w:p>
    <w:p w14:paraId="39CEDA61" w14:textId="77777777" w:rsidR="00BF42D4" w:rsidRPr="00512B6E" w:rsidRDefault="00BF42D4" w:rsidP="006C2C9E">
      <w:pPr>
        <w:shd w:val="clear" w:color="auto" w:fill="FFFFFF"/>
        <w:jc w:val="both"/>
        <w:rPr>
          <w:rFonts w:asciiTheme="majorHAnsi" w:hAnsiTheme="majorHAnsi" w:cstheme="majorHAnsi"/>
          <w:color w:val="222222"/>
          <w:sz w:val="22"/>
          <w:szCs w:val="22"/>
        </w:rPr>
      </w:pPr>
    </w:p>
    <w:p w14:paraId="4F9C9274" w14:textId="77777777" w:rsidR="00BF42D4" w:rsidRPr="00512B6E" w:rsidRDefault="00BF42D4" w:rsidP="006C2C9E">
      <w:pPr>
        <w:shd w:val="clear" w:color="auto" w:fill="FFFFFF"/>
        <w:jc w:val="both"/>
        <w:rPr>
          <w:rFonts w:asciiTheme="majorHAnsi" w:hAnsiTheme="majorHAnsi" w:cstheme="majorHAnsi"/>
          <w:color w:val="222222"/>
          <w:sz w:val="22"/>
          <w:szCs w:val="22"/>
        </w:rPr>
      </w:pPr>
    </w:p>
    <w:p w14:paraId="06AFCF55" w14:textId="35E4DEA1" w:rsidR="00CD374B" w:rsidRPr="00512B6E" w:rsidRDefault="00605ADC">
      <w:pPr>
        <w:jc w:val="center"/>
        <w:rPr>
          <w:rFonts w:asciiTheme="majorHAnsi" w:hAnsiTheme="majorHAnsi" w:cstheme="majorHAnsi"/>
          <w:color w:val="222222"/>
          <w:sz w:val="22"/>
          <w:szCs w:val="22"/>
        </w:rPr>
      </w:pPr>
      <w:r w:rsidRPr="00512B6E">
        <w:rPr>
          <w:rFonts w:asciiTheme="majorHAnsi" w:hAnsiTheme="majorHAnsi" w:cstheme="majorHAnsi"/>
          <w:color w:val="222222"/>
          <w:sz w:val="22"/>
          <w:szCs w:val="22"/>
        </w:rPr>
        <w:t>&lt;Tab</w:t>
      </w:r>
      <w:r w:rsidR="00512B6E" w:rsidRPr="00512B6E">
        <w:rPr>
          <w:rFonts w:asciiTheme="majorHAnsi" w:hAnsiTheme="majorHAnsi" w:cstheme="majorHAnsi"/>
          <w:color w:val="222222"/>
          <w:sz w:val="22"/>
          <w:szCs w:val="22"/>
        </w:rPr>
        <w:t>le 1</w:t>
      </w:r>
      <w:r w:rsidRPr="00512B6E">
        <w:rPr>
          <w:rFonts w:asciiTheme="majorHAnsi" w:hAnsiTheme="majorHAnsi" w:cstheme="majorHAnsi"/>
          <w:color w:val="222222"/>
          <w:sz w:val="22"/>
          <w:szCs w:val="22"/>
        </w:rPr>
        <w:t xml:space="preserve"> &gt;</w:t>
      </w:r>
    </w:p>
    <w:p w14:paraId="08869B28" w14:textId="77777777" w:rsidR="00605ADC" w:rsidRPr="00512B6E" w:rsidRDefault="00605ADC" w:rsidP="00605ADC">
      <w:pPr>
        <w:jc w:val="center"/>
        <w:rPr>
          <w:rFonts w:asciiTheme="majorHAnsi" w:hAnsiTheme="majorHAnsi" w:cstheme="majorHAnsi"/>
          <w:color w:val="222222"/>
          <w:sz w:val="22"/>
          <w:szCs w:val="22"/>
        </w:rPr>
      </w:pPr>
    </w:p>
    <w:p w14:paraId="0A757FD1" w14:textId="77777777" w:rsidR="00DB0F1A" w:rsidRPr="00512B6E" w:rsidRDefault="00DB0F1A">
      <w:pPr>
        <w:jc w:val="both"/>
        <w:rPr>
          <w:rFonts w:asciiTheme="majorHAnsi" w:hAnsiTheme="majorHAnsi" w:cstheme="majorHAnsi"/>
          <w:color w:val="222222"/>
          <w:sz w:val="22"/>
          <w:szCs w:val="22"/>
        </w:rPr>
      </w:pPr>
    </w:p>
    <w:p w14:paraId="40FB3D98" w14:textId="3A47FC89" w:rsidR="0078154A" w:rsidRDefault="00703D7C" w:rsidP="00703D7C">
      <w:pPr>
        <w:jc w:val="both"/>
        <w:rPr>
          <w:rFonts w:asciiTheme="majorHAnsi" w:hAnsiTheme="majorHAnsi" w:cstheme="majorHAnsi"/>
          <w:sz w:val="22"/>
          <w:szCs w:val="22"/>
        </w:rPr>
      </w:pPr>
      <w:r w:rsidRPr="00512B6E">
        <w:rPr>
          <w:rFonts w:asciiTheme="majorHAnsi" w:hAnsiTheme="majorHAnsi" w:cstheme="majorHAnsi"/>
          <w:color w:val="222222"/>
          <w:sz w:val="22"/>
          <w:szCs w:val="22"/>
        </w:rPr>
        <w:t xml:space="preserve">We therefore suggest that countries interested in inequality reduction employ a complementary statistic, comparing, when available, the evolution of top incomes (top 1% or top 0.1% income shares) to average growth, in order to capture important changes at the apex of the income distribution. The use of complementary metrics, in addition to </w:t>
      </w:r>
      <w:r w:rsidRPr="00512B6E">
        <w:rPr>
          <w:rFonts w:asciiTheme="majorHAnsi" w:hAnsiTheme="majorHAnsi" w:cstheme="majorHAnsi"/>
          <w:sz w:val="22"/>
          <w:szCs w:val="22"/>
        </w:rPr>
        <w:t>the global indicators list adopted by the General Assembly, is</w:t>
      </w:r>
      <w:r w:rsidRPr="00512B6E">
        <w:rPr>
          <w:rFonts w:asciiTheme="majorHAnsi" w:hAnsiTheme="majorHAnsi" w:cstheme="majorHAnsi"/>
          <w:color w:val="222222"/>
          <w:sz w:val="22"/>
          <w:szCs w:val="22"/>
        </w:rPr>
        <w:t xml:space="preserve"> explicitly foreseen in the SDG framework. Paragraph 75 of </w:t>
      </w:r>
      <w:hyperlink r:id="rId11" w:history="1">
        <w:r w:rsidRPr="0078154A">
          <w:rPr>
            <w:rStyle w:val="Lienhypertexte"/>
            <w:rFonts w:asciiTheme="majorHAnsi" w:hAnsiTheme="majorHAnsi" w:cstheme="majorHAnsi"/>
            <w:i/>
            <w:iCs/>
            <w:sz w:val="22"/>
            <w:szCs w:val="22"/>
          </w:rPr>
          <w:t>Transforming Our World: The Agenda 2030 for Sustainable Development</w:t>
        </w:r>
      </w:hyperlink>
      <w:r w:rsidRPr="00512B6E">
        <w:rPr>
          <w:rFonts w:asciiTheme="majorHAnsi" w:hAnsiTheme="majorHAnsi" w:cstheme="majorHAnsi"/>
          <w:i/>
          <w:iCs/>
          <w:sz w:val="22"/>
          <w:szCs w:val="22"/>
        </w:rPr>
        <w:t> </w:t>
      </w:r>
      <w:r w:rsidRPr="00512B6E">
        <w:rPr>
          <w:rFonts w:asciiTheme="majorHAnsi" w:hAnsiTheme="majorHAnsi" w:cstheme="majorHAnsi"/>
          <w:sz w:val="22"/>
          <w:szCs w:val="22"/>
        </w:rPr>
        <w:t xml:space="preserve">states: </w:t>
      </w:r>
    </w:p>
    <w:p w14:paraId="45C50C87" w14:textId="200DC994" w:rsidR="0078154A" w:rsidRPr="00360DDD" w:rsidRDefault="00703D7C" w:rsidP="00360DDD">
      <w:pPr>
        <w:ind w:left="720"/>
        <w:rPr>
          <w:rFonts w:asciiTheme="majorHAnsi" w:hAnsiTheme="majorHAnsi" w:cstheme="majorHAnsi"/>
        </w:rPr>
      </w:pPr>
      <w:r w:rsidRPr="00360DDD">
        <w:rPr>
          <w:rFonts w:asciiTheme="majorHAnsi" w:hAnsiTheme="majorHAnsi" w:cstheme="majorHAnsi"/>
        </w:rPr>
        <w:t>"The Goals and targets will be followed-up and reviewed using a set of global indicators. These will be complemented by indicators at the regional and national levels which will be developed by member states, in addition to the outcomes of work undertaken for the development of the baselines for those targets where national and global baseline data does not yet exist”</w:t>
      </w:r>
      <w:r w:rsidR="0078154A" w:rsidRPr="00360DDD">
        <w:rPr>
          <w:rFonts w:asciiTheme="majorHAnsi" w:hAnsiTheme="majorHAnsi" w:cstheme="majorHAnsi"/>
        </w:rPr>
        <w:t>.</w:t>
      </w:r>
    </w:p>
    <w:p w14:paraId="69AE1200" w14:textId="337E5E14" w:rsidR="00703D7C" w:rsidRPr="00512B6E" w:rsidDel="3542C416" w:rsidRDefault="00344177" w:rsidP="00703D7C">
      <w:pPr>
        <w:jc w:val="both"/>
        <w:rPr>
          <w:rFonts w:asciiTheme="majorHAnsi" w:hAnsiTheme="majorHAnsi" w:cstheme="majorHAnsi"/>
          <w:sz w:val="22"/>
          <w:szCs w:val="22"/>
        </w:rPr>
      </w:pPr>
      <w:r w:rsidRPr="00512B6E">
        <w:rPr>
          <w:rFonts w:asciiTheme="majorHAnsi" w:hAnsiTheme="majorHAnsi" w:cstheme="majorHAnsi"/>
          <w:sz w:val="22"/>
          <w:szCs w:val="22"/>
          <w:lang w:val="en-GB"/>
        </w:rPr>
        <w:t>T</w:t>
      </w:r>
      <w:r w:rsidR="00703D7C" w:rsidRPr="00512B6E">
        <w:rPr>
          <w:rFonts w:asciiTheme="majorHAnsi" w:hAnsiTheme="majorHAnsi" w:cstheme="majorHAnsi"/>
          <w:sz w:val="22"/>
          <w:szCs w:val="22"/>
          <w:lang w:val="en-GB"/>
        </w:rPr>
        <w:t>he inclusion of complementary statistics is voluntary, based on the discretion of states. In this case, epistemic communities have already contributed a great deal: data about the income and wealth of the top 1% produced by academia and civil society have been harn</w:t>
      </w:r>
      <w:r w:rsidR="001D0E81" w:rsidRPr="00512B6E">
        <w:rPr>
          <w:rFonts w:asciiTheme="majorHAnsi" w:hAnsiTheme="majorHAnsi" w:cstheme="majorHAnsi"/>
          <w:sz w:val="22"/>
          <w:szCs w:val="22"/>
          <w:lang w:val="en-GB"/>
        </w:rPr>
        <w:t>e</w:t>
      </w:r>
      <w:r w:rsidR="00703D7C" w:rsidRPr="00512B6E">
        <w:rPr>
          <w:rFonts w:asciiTheme="majorHAnsi" w:hAnsiTheme="majorHAnsi" w:cstheme="majorHAnsi"/>
          <w:sz w:val="22"/>
          <w:szCs w:val="22"/>
          <w:lang w:val="en-GB"/>
        </w:rPr>
        <w:t>ssed by</w:t>
      </w:r>
      <w:r w:rsidR="00703D7C" w:rsidRPr="00512B6E">
        <w:rPr>
          <w:rFonts w:asciiTheme="majorHAnsi" w:hAnsiTheme="majorHAnsi" w:cstheme="majorHAnsi"/>
          <w:sz w:val="22"/>
          <w:szCs w:val="22"/>
        </w:rPr>
        <w:t xml:space="preserve"> activists and NGOs to increase awareness in the issue of rising inequality. The uptake of this complementary </w:t>
      </w:r>
      <w:r w:rsidR="006100FA" w:rsidRPr="00512B6E">
        <w:rPr>
          <w:rFonts w:asciiTheme="majorHAnsi" w:hAnsiTheme="majorHAnsi" w:cstheme="majorHAnsi"/>
          <w:sz w:val="22"/>
          <w:szCs w:val="22"/>
        </w:rPr>
        <w:t xml:space="preserve">indicator </w:t>
      </w:r>
      <w:r w:rsidR="00703D7C" w:rsidRPr="00512B6E">
        <w:rPr>
          <w:rFonts w:asciiTheme="majorHAnsi" w:hAnsiTheme="majorHAnsi" w:cstheme="majorHAnsi"/>
          <w:sz w:val="22"/>
          <w:szCs w:val="22"/>
        </w:rPr>
        <w:t>will therefore depend on the continued participation of civil society actors and academia.</w:t>
      </w:r>
    </w:p>
    <w:p w14:paraId="42F575EA" w14:textId="77777777" w:rsidR="00703D7C" w:rsidRPr="00512B6E" w:rsidRDefault="00703D7C">
      <w:pPr>
        <w:jc w:val="both"/>
        <w:rPr>
          <w:rFonts w:asciiTheme="majorHAnsi" w:hAnsiTheme="majorHAnsi" w:cstheme="majorHAnsi"/>
          <w:color w:val="222222"/>
          <w:sz w:val="22"/>
          <w:szCs w:val="22"/>
        </w:rPr>
      </w:pPr>
    </w:p>
    <w:p w14:paraId="4478A980" w14:textId="4BFAFFF1" w:rsidR="005F243D" w:rsidRPr="00512B6E" w:rsidRDefault="007509B9" w:rsidP="006C2C9E">
      <w:pPr>
        <w:pStyle w:val="Titre3"/>
        <w:jc w:val="both"/>
        <w:rPr>
          <w:rFonts w:cstheme="majorHAnsi"/>
          <w:color w:val="auto"/>
          <w:sz w:val="22"/>
          <w:szCs w:val="22"/>
          <w:shd w:val="clear" w:color="auto" w:fill="FFFFFF"/>
          <w:lang w:val="en-GB"/>
        </w:rPr>
      </w:pPr>
      <w:r w:rsidRPr="00512B6E">
        <w:rPr>
          <w:rFonts w:cstheme="majorHAnsi"/>
          <w:color w:val="222222"/>
          <w:sz w:val="22"/>
          <w:szCs w:val="22"/>
        </w:rPr>
        <w:t>Ranking countries to trigger policy reaction</w:t>
      </w:r>
    </w:p>
    <w:p w14:paraId="645CEBCE" w14:textId="77777777" w:rsidR="00D635C4" w:rsidRPr="00512B6E" w:rsidRDefault="00D635C4" w:rsidP="006C2C9E">
      <w:pPr>
        <w:pStyle w:val="Paragraphedeliste"/>
        <w:ind w:left="0"/>
        <w:jc w:val="both"/>
        <w:rPr>
          <w:rFonts w:asciiTheme="majorHAnsi" w:eastAsia="Times New Roman" w:hAnsiTheme="majorHAnsi" w:cstheme="majorHAnsi"/>
          <w:b/>
          <w:color w:val="222222"/>
          <w:sz w:val="22"/>
          <w:szCs w:val="22"/>
          <w:shd w:val="clear" w:color="auto" w:fill="FFFFFF"/>
          <w:lang w:val="en-GB"/>
        </w:rPr>
      </w:pPr>
    </w:p>
    <w:p w14:paraId="12103FC9" w14:textId="4FB2A30A" w:rsidR="003E560D" w:rsidRPr="00512B6E" w:rsidRDefault="00D635C4" w:rsidP="00C01041">
      <w:pPr>
        <w:shd w:val="clear" w:color="auto" w:fill="FFFFFF" w:themeFill="background1"/>
        <w:jc w:val="both"/>
        <w:rPr>
          <w:rFonts w:asciiTheme="majorHAnsi" w:hAnsiTheme="majorHAnsi" w:cstheme="majorHAnsi"/>
          <w:sz w:val="22"/>
          <w:szCs w:val="22"/>
        </w:rPr>
      </w:pPr>
      <w:r w:rsidRPr="00512B6E">
        <w:rPr>
          <w:rFonts w:asciiTheme="majorHAnsi" w:eastAsia="Times New Roman" w:hAnsiTheme="majorHAnsi" w:cstheme="majorHAnsi"/>
          <w:color w:val="222222"/>
          <w:sz w:val="22"/>
          <w:szCs w:val="22"/>
          <w:shd w:val="clear" w:color="auto" w:fill="FFFFFF"/>
        </w:rPr>
        <w:t>The SDG indicator</w:t>
      </w:r>
      <w:r w:rsidR="0078154A">
        <w:rPr>
          <w:rFonts w:asciiTheme="majorHAnsi" w:eastAsia="Times New Roman" w:hAnsiTheme="majorHAnsi" w:cstheme="majorHAnsi"/>
          <w:color w:val="222222"/>
          <w:sz w:val="22"/>
          <w:szCs w:val="22"/>
          <w:shd w:val="clear" w:color="auto" w:fill="FFFFFF"/>
        </w:rPr>
        <w:t>s</w:t>
      </w:r>
      <w:r w:rsidRPr="00512B6E">
        <w:rPr>
          <w:rFonts w:asciiTheme="majorHAnsi" w:eastAsia="Times New Roman" w:hAnsiTheme="majorHAnsi" w:cstheme="majorHAnsi"/>
          <w:color w:val="222222"/>
          <w:sz w:val="22"/>
          <w:szCs w:val="22"/>
          <w:shd w:val="clear" w:color="auto" w:fill="FFFFFF"/>
        </w:rPr>
        <w:t xml:space="preserve"> not only provide a harmonized m</w:t>
      </w:r>
      <w:r w:rsidR="00BF7C79" w:rsidRPr="00512B6E">
        <w:rPr>
          <w:rFonts w:asciiTheme="majorHAnsi" w:eastAsia="Times New Roman" w:hAnsiTheme="majorHAnsi" w:cstheme="majorHAnsi"/>
          <w:color w:val="222222"/>
          <w:sz w:val="22"/>
          <w:szCs w:val="22"/>
          <w:shd w:val="clear" w:color="auto" w:fill="FFFFFF"/>
        </w:rPr>
        <w:t>etric</w:t>
      </w:r>
      <w:r w:rsidR="00514F68" w:rsidRPr="00512B6E">
        <w:rPr>
          <w:rFonts w:asciiTheme="majorHAnsi" w:eastAsia="Times New Roman" w:hAnsiTheme="majorHAnsi" w:cstheme="majorHAnsi"/>
          <w:color w:val="222222"/>
          <w:sz w:val="22"/>
          <w:szCs w:val="22"/>
          <w:shd w:val="clear" w:color="auto" w:fill="FFFFFF"/>
        </w:rPr>
        <w:t>,</w:t>
      </w:r>
      <w:r w:rsidR="00BF7C79" w:rsidRPr="00512B6E">
        <w:rPr>
          <w:rFonts w:asciiTheme="majorHAnsi" w:eastAsia="Times New Roman" w:hAnsiTheme="majorHAnsi" w:cstheme="majorHAnsi"/>
          <w:color w:val="222222"/>
          <w:sz w:val="22"/>
          <w:szCs w:val="22"/>
          <w:shd w:val="clear" w:color="auto" w:fill="FFFFFF"/>
        </w:rPr>
        <w:t xml:space="preserve"> </w:t>
      </w:r>
      <w:r w:rsidR="0078154A">
        <w:rPr>
          <w:rFonts w:asciiTheme="majorHAnsi" w:eastAsia="Times New Roman" w:hAnsiTheme="majorHAnsi" w:cstheme="majorHAnsi"/>
          <w:color w:val="222222"/>
          <w:sz w:val="22"/>
          <w:szCs w:val="22"/>
          <w:shd w:val="clear" w:color="auto" w:fill="FFFFFF"/>
        </w:rPr>
        <w:t>they</w:t>
      </w:r>
      <w:r w:rsidR="0078154A" w:rsidRPr="00512B6E">
        <w:rPr>
          <w:rFonts w:asciiTheme="majorHAnsi" w:eastAsia="Times New Roman" w:hAnsiTheme="majorHAnsi" w:cstheme="majorHAnsi"/>
          <w:color w:val="222222"/>
          <w:sz w:val="22"/>
          <w:szCs w:val="22"/>
          <w:shd w:val="clear" w:color="auto" w:fill="FFFFFF"/>
        </w:rPr>
        <w:t xml:space="preserve"> </w:t>
      </w:r>
      <w:r w:rsidR="00BF7C79" w:rsidRPr="00512B6E">
        <w:rPr>
          <w:rFonts w:asciiTheme="majorHAnsi" w:eastAsia="Times New Roman" w:hAnsiTheme="majorHAnsi" w:cstheme="majorHAnsi"/>
          <w:color w:val="222222"/>
          <w:sz w:val="22"/>
          <w:szCs w:val="22"/>
          <w:shd w:val="clear" w:color="auto" w:fill="FFFFFF"/>
        </w:rPr>
        <w:t>also sets a threshold</w:t>
      </w:r>
      <w:r w:rsidR="006100FA" w:rsidRPr="00512B6E">
        <w:rPr>
          <w:rFonts w:asciiTheme="majorHAnsi" w:eastAsia="Times New Roman" w:hAnsiTheme="majorHAnsi" w:cstheme="majorHAnsi"/>
          <w:color w:val="222222"/>
          <w:sz w:val="22"/>
          <w:szCs w:val="22"/>
          <w:shd w:val="clear" w:color="auto" w:fill="FFFFFF"/>
        </w:rPr>
        <w:t xml:space="preserve"> </w:t>
      </w:r>
      <w:r w:rsidR="00DF1F37" w:rsidRPr="00512B6E">
        <w:rPr>
          <w:rFonts w:asciiTheme="majorHAnsi" w:eastAsia="Times New Roman" w:hAnsiTheme="majorHAnsi" w:cstheme="majorHAnsi"/>
          <w:color w:val="222222"/>
          <w:sz w:val="22"/>
          <w:szCs w:val="22"/>
          <w:shd w:val="clear" w:color="auto" w:fill="FFFFFF"/>
        </w:rPr>
        <w:t xml:space="preserve">for the </w:t>
      </w:r>
      <w:r w:rsidRPr="00512B6E">
        <w:rPr>
          <w:rFonts w:asciiTheme="majorHAnsi" w:eastAsia="Times New Roman" w:hAnsiTheme="majorHAnsi" w:cstheme="majorHAnsi"/>
          <w:color w:val="333333"/>
          <w:sz w:val="22"/>
          <w:szCs w:val="22"/>
        </w:rPr>
        <w:t>income growth of the bottom 40</w:t>
      </w:r>
      <w:r w:rsidR="0078154A">
        <w:rPr>
          <w:rFonts w:asciiTheme="majorHAnsi" w:eastAsia="Times New Roman" w:hAnsiTheme="majorHAnsi" w:cstheme="majorHAnsi"/>
          <w:color w:val="333333"/>
          <w:sz w:val="22"/>
          <w:szCs w:val="22"/>
        </w:rPr>
        <w:t xml:space="preserve"> percent</w:t>
      </w:r>
      <w:r w:rsidRPr="00512B6E">
        <w:rPr>
          <w:rFonts w:asciiTheme="majorHAnsi" w:eastAsia="Times New Roman" w:hAnsiTheme="majorHAnsi" w:cstheme="majorHAnsi"/>
          <w:color w:val="333333"/>
          <w:sz w:val="22"/>
          <w:szCs w:val="22"/>
        </w:rPr>
        <w:t xml:space="preserve">. </w:t>
      </w:r>
      <w:r w:rsidR="003E560D" w:rsidRPr="00512B6E">
        <w:rPr>
          <w:rFonts w:asciiTheme="majorHAnsi" w:hAnsiTheme="majorHAnsi" w:cstheme="majorHAnsi"/>
          <w:color w:val="000000"/>
          <w:sz w:val="22"/>
          <w:szCs w:val="22"/>
        </w:rPr>
        <w:t>Th</w:t>
      </w:r>
      <w:r w:rsidR="006100FA" w:rsidRPr="00512B6E">
        <w:rPr>
          <w:rFonts w:asciiTheme="majorHAnsi" w:hAnsiTheme="majorHAnsi" w:cstheme="majorHAnsi"/>
          <w:color w:val="000000"/>
          <w:sz w:val="22"/>
          <w:szCs w:val="22"/>
        </w:rPr>
        <w:t>e</w:t>
      </w:r>
      <w:r w:rsidR="003E560D" w:rsidRPr="00512B6E">
        <w:rPr>
          <w:rFonts w:asciiTheme="majorHAnsi" w:hAnsiTheme="majorHAnsi" w:cstheme="majorHAnsi"/>
          <w:color w:val="000000"/>
          <w:sz w:val="22"/>
          <w:szCs w:val="22"/>
        </w:rPr>
        <w:t xml:space="preserve"> monitoring is carried out through an annual reporting</w:t>
      </w:r>
      <w:r w:rsidR="003E560D" w:rsidRPr="00512B6E">
        <w:rPr>
          <w:rFonts w:asciiTheme="majorHAnsi" w:hAnsiTheme="majorHAnsi" w:cstheme="majorHAnsi"/>
          <w:i/>
          <w:iCs/>
          <w:color w:val="000000"/>
          <w:sz w:val="22"/>
          <w:szCs w:val="22"/>
        </w:rPr>
        <w:t xml:space="preserve"> </w:t>
      </w:r>
      <w:r w:rsidR="003E560D" w:rsidRPr="00512B6E">
        <w:rPr>
          <w:rFonts w:asciiTheme="majorHAnsi" w:hAnsiTheme="majorHAnsi" w:cstheme="majorHAnsi"/>
          <w:color w:val="000000"/>
          <w:sz w:val="22"/>
          <w:szCs w:val="22"/>
        </w:rPr>
        <w:t>system, under the aegis of the UN Secretary General, based on indicators and national statistics.</w:t>
      </w:r>
      <w:r w:rsidR="71B2D13B" w:rsidRPr="00512B6E">
        <w:rPr>
          <w:rFonts w:asciiTheme="majorHAnsi" w:eastAsia="Arial" w:hAnsiTheme="majorHAnsi" w:cstheme="majorHAnsi"/>
          <w:color w:val="222222"/>
          <w:sz w:val="22"/>
          <w:szCs w:val="22"/>
        </w:rPr>
        <w:t xml:space="preserve"> </w:t>
      </w:r>
      <w:r w:rsidR="00B518D0" w:rsidRPr="00512B6E">
        <w:rPr>
          <w:rFonts w:asciiTheme="majorHAnsi" w:eastAsia="Arial" w:hAnsiTheme="majorHAnsi" w:cstheme="majorHAnsi"/>
          <w:color w:val="222222"/>
          <w:sz w:val="22"/>
          <w:szCs w:val="22"/>
        </w:rPr>
        <w:t>N</w:t>
      </w:r>
      <w:r w:rsidR="71B2D13B" w:rsidRPr="00512B6E">
        <w:rPr>
          <w:rFonts w:asciiTheme="majorHAnsi" w:eastAsia="Arial,Times New Roman" w:hAnsiTheme="majorHAnsi" w:cstheme="majorHAnsi"/>
          <w:color w:val="222222"/>
          <w:sz w:val="22"/>
          <w:szCs w:val="22"/>
          <w:lang w:val="en-GB"/>
        </w:rPr>
        <w:t xml:space="preserve">othing in Target 10.1 constrains the speed of inequality reduction, nor the optimal range of outcomes that countries should aim to achieve. Nevertheless, to reach the target, several countries in the developed and developing world will have to invert current inequality trends. </w:t>
      </w:r>
      <w:r w:rsidR="00DA74C1" w:rsidRPr="00512B6E">
        <w:rPr>
          <w:rFonts w:asciiTheme="majorHAnsi" w:eastAsia="Arial,Times New Roman" w:hAnsiTheme="majorHAnsi" w:cstheme="majorHAnsi"/>
          <w:color w:val="222222"/>
          <w:sz w:val="22"/>
          <w:szCs w:val="22"/>
          <w:lang w:val="en-GB"/>
        </w:rPr>
        <w:t>Could ranking help decision makers tackle the problem seriously?</w:t>
      </w:r>
    </w:p>
    <w:p w14:paraId="146BCDED" w14:textId="77777777" w:rsidR="003E560D" w:rsidRPr="00512B6E" w:rsidRDefault="003E560D" w:rsidP="006C2C9E">
      <w:pPr>
        <w:pStyle w:val="Pa9"/>
        <w:jc w:val="both"/>
        <w:rPr>
          <w:rFonts w:asciiTheme="majorHAnsi" w:hAnsiTheme="majorHAnsi" w:cstheme="majorHAnsi"/>
          <w:color w:val="000000"/>
          <w:sz w:val="22"/>
          <w:szCs w:val="22"/>
          <w:lang w:val="en-US"/>
        </w:rPr>
      </w:pPr>
    </w:p>
    <w:p w14:paraId="20E800F0" w14:textId="2314C1F9" w:rsidR="00872ADE" w:rsidRPr="00512B6E" w:rsidRDefault="00DA74C1">
      <w:pPr>
        <w:shd w:val="clear" w:color="auto" w:fill="FFFFFF" w:themeFill="background1"/>
        <w:jc w:val="both"/>
        <w:rPr>
          <w:rFonts w:asciiTheme="majorHAnsi" w:hAnsiTheme="majorHAnsi" w:cstheme="majorHAnsi"/>
          <w:color w:val="000000" w:themeColor="text1"/>
          <w:sz w:val="22"/>
          <w:szCs w:val="22"/>
        </w:rPr>
      </w:pPr>
      <w:r w:rsidRPr="00512B6E">
        <w:rPr>
          <w:rFonts w:asciiTheme="majorHAnsi" w:hAnsiTheme="majorHAnsi" w:cstheme="majorHAnsi"/>
          <w:color w:val="000000"/>
          <w:sz w:val="22"/>
          <w:szCs w:val="22"/>
        </w:rPr>
        <w:t xml:space="preserve">The example of the </w:t>
      </w:r>
      <w:r w:rsidRPr="00360DDD">
        <w:rPr>
          <w:rFonts w:asciiTheme="majorHAnsi" w:hAnsiTheme="majorHAnsi" w:cstheme="majorHAnsi"/>
          <w:i/>
          <w:color w:val="000000"/>
          <w:sz w:val="22"/>
          <w:szCs w:val="22"/>
        </w:rPr>
        <w:t>Programme for International Student Assessment</w:t>
      </w:r>
      <w:r w:rsidRPr="00512B6E">
        <w:rPr>
          <w:rFonts w:asciiTheme="majorHAnsi" w:hAnsiTheme="majorHAnsi" w:cstheme="majorHAnsi"/>
          <w:color w:val="000000"/>
          <w:sz w:val="22"/>
          <w:szCs w:val="22"/>
        </w:rPr>
        <w:t xml:space="preserve"> (PISA) of the OECD is illuminating. </w:t>
      </w:r>
      <w:r w:rsidR="007E25B7" w:rsidRPr="00512B6E">
        <w:rPr>
          <w:rFonts w:asciiTheme="majorHAnsi" w:hAnsiTheme="majorHAnsi" w:cstheme="majorHAnsi"/>
          <w:color w:val="000000"/>
          <w:sz w:val="22"/>
          <w:szCs w:val="22"/>
        </w:rPr>
        <w:t>PISA</w:t>
      </w:r>
      <w:r w:rsidRPr="00512B6E">
        <w:rPr>
          <w:rFonts w:asciiTheme="majorHAnsi" w:hAnsiTheme="majorHAnsi" w:cstheme="majorHAnsi"/>
          <w:color w:val="000000"/>
          <w:sz w:val="22"/>
          <w:szCs w:val="22"/>
        </w:rPr>
        <w:t>’s</w:t>
      </w:r>
      <w:r w:rsidR="003E560D" w:rsidRPr="00512B6E">
        <w:rPr>
          <w:rFonts w:asciiTheme="majorHAnsi" w:hAnsiTheme="majorHAnsi" w:cstheme="majorHAnsi"/>
          <w:color w:val="000000"/>
          <w:sz w:val="22"/>
          <w:szCs w:val="22"/>
        </w:rPr>
        <w:t xml:space="preserve"> </w:t>
      </w:r>
      <w:r w:rsidRPr="00512B6E">
        <w:rPr>
          <w:rFonts w:asciiTheme="majorHAnsi" w:hAnsiTheme="majorHAnsi" w:cstheme="majorHAnsi"/>
          <w:color w:val="000000"/>
          <w:sz w:val="22"/>
          <w:szCs w:val="22"/>
        </w:rPr>
        <w:t xml:space="preserve">influence on education policy is </w:t>
      </w:r>
      <w:r w:rsidR="003E560D" w:rsidRPr="00512B6E">
        <w:rPr>
          <w:rFonts w:asciiTheme="majorHAnsi" w:hAnsiTheme="majorHAnsi" w:cstheme="majorHAnsi"/>
          <w:color w:val="000000"/>
          <w:sz w:val="22"/>
          <w:szCs w:val="22"/>
        </w:rPr>
        <w:t>maximised when stakehold</w:t>
      </w:r>
      <w:r w:rsidR="003E560D" w:rsidRPr="00512B6E">
        <w:rPr>
          <w:rFonts w:asciiTheme="majorHAnsi" w:hAnsiTheme="majorHAnsi" w:cstheme="majorHAnsi"/>
          <w:color w:val="000000"/>
          <w:sz w:val="22"/>
          <w:szCs w:val="22"/>
        </w:rPr>
        <w:softHyphen/>
        <w:t xml:space="preserve">ers recognize the indicators as legitimate, when monitoring and reporting mechanisms are in place—as planned in the 2030 Agenda—and when </w:t>
      </w:r>
      <w:hyperlink r:id="rId12" w:history="1">
        <w:r w:rsidR="004168AD" w:rsidRPr="00E54030">
          <w:rPr>
            <w:rStyle w:val="Lienhypertexte"/>
            <w:rFonts w:asciiTheme="majorHAnsi" w:hAnsiTheme="majorHAnsi" w:cstheme="majorHAnsi"/>
            <w:sz w:val="22"/>
            <w:szCs w:val="22"/>
          </w:rPr>
          <w:t xml:space="preserve">evaluation </w:t>
        </w:r>
        <w:r w:rsidR="003E560D" w:rsidRPr="00E54030">
          <w:rPr>
            <w:rStyle w:val="Lienhypertexte"/>
            <w:rFonts w:asciiTheme="majorHAnsi" w:hAnsiTheme="majorHAnsi" w:cstheme="majorHAnsi"/>
            <w:sz w:val="22"/>
            <w:szCs w:val="22"/>
          </w:rPr>
          <w:t>results</w:t>
        </w:r>
      </w:hyperlink>
      <w:r w:rsidR="003E560D" w:rsidRPr="00512B6E">
        <w:rPr>
          <w:rFonts w:asciiTheme="majorHAnsi" w:hAnsiTheme="majorHAnsi" w:cstheme="majorHAnsi"/>
          <w:color w:val="000000"/>
          <w:sz w:val="22"/>
          <w:szCs w:val="22"/>
        </w:rPr>
        <w:t xml:space="preserve"> are dissemi</w:t>
      </w:r>
      <w:r w:rsidR="003E560D" w:rsidRPr="00512B6E">
        <w:rPr>
          <w:rFonts w:asciiTheme="majorHAnsi" w:hAnsiTheme="majorHAnsi" w:cstheme="majorHAnsi"/>
          <w:color w:val="000000"/>
          <w:sz w:val="22"/>
          <w:szCs w:val="22"/>
        </w:rPr>
        <w:softHyphen/>
        <w:t>nated to the media</w:t>
      </w:r>
      <w:r w:rsidR="0078154A">
        <w:rPr>
          <w:rFonts w:asciiTheme="majorHAnsi" w:hAnsiTheme="majorHAnsi" w:cstheme="majorHAnsi"/>
          <w:color w:val="000000"/>
          <w:sz w:val="22"/>
          <w:szCs w:val="22"/>
        </w:rPr>
        <w:t>.</w:t>
      </w:r>
      <w:r w:rsidR="003E560D" w:rsidRPr="00512B6E">
        <w:rPr>
          <w:rFonts w:asciiTheme="majorHAnsi" w:hAnsiTheme="majorHAnsi" w:cstheme="majorHAnsi"/>
          <w:color w:val="000000"/>
          <w:sz w:val="22"/>
          <w:szCs w:val="22"/>
        </w:rPr>
        <w:t xml:space="preserve"> </w:t>
      </w:r>
      <w:r w:rsidR="005C3770" w:rsidRPr="00512B6E">
        <w:rPr>
          <w:rFonts w:asciiTheme="majorHAnsi" w:hAnsiTheme="majorHAnsi" w:cstheme="majorHAnsi"/>
          <w:color w:val="000000"/>
          <w:sz w:val="22"/>
          <w:szCs w:val="22"/>
        </w:rPr>
        <w:t>The political appeal of ranking is particularly striking during national election campaigns – at least among EU 27 countries. In particular, GDP growth, unemployment rate and public spending as a share of GDP have pervaded across continental Europe in national debates on welfare state reforms over the last two decades. Beyond-GDP-indicators which have been developed and included in the national jurisdiction of a few countries</w:t>
      </w:r>
      <w:r w:rsidR="00244123" w:rsidRPr="00512B6E">
        <w:rPr>
          <w:rFonts w:asciiTheme="majorHAnsi" w:hAnsiTheme="majorHAnsi" w:cstheme="majorHAnsi"/>
          <w:color w:val="000000"/>
          <w:sz w:val="22"/>
          <w:szCs w:val="22"/>
        </w:rPr>
        <w:t xml:space="preserve"> rest</w:t>
      </w:r>
      <w:r w:rsidR="005C3770" w:rsidRPr="00512B6E">
        <w:rPr>
          <w:rFonts w:asciiTheme="majorHAnsi" w:hAnsiTheme="majorHAnsi" w:cstheme="majorHAnsi"/>
          <w:color w:val="000000"/>
          <w:sz w:val="22"/>
          <w:szCs w:val="22"/>
        </w:rPr>
        <w:t xml:space="preserve"> on a similar rationale of </w:t>
      </w:r>
      <w:hyperlink r:id="rId13" w:history="1">
        <w:r w:rsidR="005C3770" w:rsidRPr="00DB1930">
          <w:rPr>
            <w:rStyle w:val="Lienhypertexte"/>
            <w:rFonts w:asciiTheme="majorHAnsi" w:hAnsiTheme="majorHAnsi" w:cstheme="majorHAnsi"/>
            <w:sz w:val="22"/>
            <w:szCs w:val="22"/>
          </w:rPr>
          <w:t>country-to-country comparison</w:t>
        </w:r>
      </w:hyperlink>
      <w:r w:rsidR="005C3770" w:rsidRPr="00512B6E">
        <w:rPr>
          <w:rFonts w:asciiTheme="majorHAnsi" w:hAnsiTheme="majorHAnsi" w:cstheme="majorHAnsi"/>
          <w:color w:val="000000"/>
          <w:sz w:val="22"/>
          <w:szCs w:val="22"/>
        </w:rPr>
        <w:t>.</w:t>
      </w:r>
      <w:r w:rsidR="00244123" w:rsidRPr="00512B6E">
        <w:rPr>
          <w:rFonts w:asciiTheme="majorHAnsi" w:hAnsiTheme="majorHAnsi" w:cstheme="majorHAnsi"/>
          <w:color w:val="000000"/>
          <w:sz w:val="22"/>
          <w:szCs w:val="22"/>
        </w:rPr>
        <w:t xml:space="preserve"> The interactive OECD Better Life Inde</w:t>
      </w:r>
      <w:r w:rsidR="006100FA" w:rsidRPr="00512B6E">
        <w:rPr>
          <w:rFonts w:asciiTheme="majorHAnsi" w:hAnsiTheme="majorHAnsi" w:cstheme="majorHAnsi"/>
          <w:color w:val="000000"/>
          <w:sz w:val="22"/>
          <w:szCs w:val="22"/>
        </w:rPr>
        <w:t>x</w:t>
      </w:r>
      <w:r w:rsidR="00244123" w:rsidRPr="00512B6E">
        <w:rPr>
          <w:rFonts w:asciiTheme="majorHAnsi" w:hAnsiTheme="majorHAnsi" w:cstheme="majorHAnsi"/>
          <w:color w:val="000000"/>
          <w:sz w:val="22"/>
          <w:szCs w:val="22"/>
        </w:rPr>
        <w:t xml:space="preserve"> tool for </w:t>
      </w:r>
      <w:r w:rsidR="00244123" w:rsidRPr="00512B6E">
        <w:rPr>
          <w:rFonts w:asciiTheme="majorHAnsi" w:hAnsiTheme="majorHAnsi" w:cstheme="majorHAnsi"/>
          <w:color w:val="000000"/>
          <w:sz w:val="22"/>
          <w:szCs w:val="22"/>
        </w:rPr>
        <w:lastRenderedPageBreak/>
        <w:t>instance</w:t>
      </w:r>
      <w:r w:rsidR="00094FE3" w:rsidRPr="00512B6E">
        <w:rPr>
          <w:rFonts w:asciiTheme="majorHAnsi" w:hAnsiTheme="majorHAnsi" w:cstheme="majorHAnsi"/>
          <w:color w:val="000000"/>
          <w:sz w:val="22"/>
          <w:szCs w:val="22"/>
        </w:rPr>
        <w:t xml:space="preserve"> </w:t>
      </w:r>
      <w:r w:rsidR="00244123" w:rsidRPr="00512B6E">
        <w:rPr>
          <w:rStyle w:val="Accentuation"/>
          <w:rFonts w:asciiTheme="majorHAnsi" w:hAnsiTheme="majorHAnsi" w:cstheme="majorHAnsi"/>
          <w:i w:val="0"/>
          <w:iCs w:val="0"/>
          <w:color w:val="333333"/>
          <w:sz w:val="22"/>
          <w:szCs w:val="22"/>
          <w:shd w:val="clear" w:color="auto" w:fill="FFFFFF"/>
        </w:rPr>
        <w:t>enables people “</w:t>
      </w:r>
      <w:r w:rsidR="00244123" w:rsidRPr="00512B6E">
        <w:rPr>
          <w:rFonts w:asciiTheme="majorHAnsi" w:hAnsiTheme="majorHAnsi" w:cstheme="majorHAnsi"/>
          <w:color w:val="333333"/>
          <w:sz w:val="22"/>
          <w:szCs w:val="22"/>
          <w:shd w:val="clear" w:color="auto" w:fill="FFFFFF"/>
        </w:rPr>
        <w:t>to express what matters most to them (…), share and compare their answers with people across 38 OECD member and non-member countries”</w:t>
      </w:r>
      <w:r w:rsidR="00A40DF5" w:rsidRPr="00512B6E">
        <w:rPr>
          <w:rFonts w:asciiTheme="majorHAnsi" w:hAnsiTheme="majorHAnsi" w:cstheme="majorHAnsi"/>
          <w:color w:val="333333"/>
          <w:sz w:val="22"/>
          <w:szCs w:val="22"/>
          <w:shd w:val="clear" w:color="auto" w:fill="FFFFFF"/>
        </w:rPr>
        <w:t xml:space="preserve"> (OECD, 2016</w:t>
      </w:r>
      <w:r w:rsidR="00244123" w:rsidRPr="00512B6E">
        <w:rPr>
          <w:rFonts w:asciiTheme="majorHAnsi" w:hAnsiTheme="majorHAnsi" w:cstheme="majorHAnsi"/>
          <w:color w:val="333333"/>
          <w:sz w:val="22"/>
          <w:szCs w:val="22"/>
          <w:shd w:val="clear" w:color="auto" w:fill="FFFFFF"/>
        </w:rPr>
        <w:t>).</w:t>
      </w:r>
      <w:r w:rsidR="00244123" w:rsidRPr="00512B6E">
        <w:rPr>
          <w:rStyle w:val="apple-converted-space"/>
          <w:rFonts w:asciiTheme="majorHAnsi" w:hAnsiTheme="majorHAnsi" w:cstheme="majorHAnsi"/>
          <w:color w:val="333333"/>
          <w:sz w:val="22"/>
          <w:szCs w:val="22"/>
          <w:shd w:val="clear" w:color="auto" w:fill="FFFFFF"/>
        </w:rPr>
        <w:t> </w:t>
      </w:r>
    </w:p>
    <w:p w14:paraId="762BEAF5" w14:textId="77777777" w:rsidR="0054141D" w:rsidRPr="00512B6E" w:rsidRDefault="0054141D">
      <w:pPr>
        <w:shd w:val="clear" w:color="auto" w:fill="FFFFFF" w:themeFill="background1"/>
        <w:jc w:val="both"/>
        <w:rPr>
          <w:rFonts w:asciiTheme="majorHAnsi" w:hAnsiTheme="majorHAnsi" w:cstheme="majorHAnsi"/>
          <w:color w:val="000000"/>
          <w:sz w:val="22"/>
          <w:szCs w:val="22"/>
        </w:rPr>
      </w:pPr>
    </w:p>
    <w:p w14:paraId="24AB99E4" w14:textId="6E623D8E" w:rsidR="007416D3" w:rsidRPr="00512B6E" w:rsidRDefault="007416D3">
      <w:pPr>
        <w:shd w:val="clear" w:color="auto" w:fill="FFFFFF" w:themeFill="background1"/>
        <w:jc w:val="both"/>
        <w:rPr>
          <w:rFonts w:asciiTheme="majorHAnsi" w:hAnsiTheme="majorHAnsi" w:cstheme="majorHAnsi"/>
          <w:color w:val="000000"/>
          <w:sz w:val="22"/>
          <w:szCs w:val="22"/>
        </w:rPr>
      </w:pPr>
      <w:r w:rsidRPr="00512B6E">
        <w:rPr>
          <w:rFonts w:asciiTheme="majorHAnsi" w:hAnsiTheme="majorHAnsi" w:cstheme="majorHAnsi"/>
          <w:color w:val="000000"/>
          <w:sz w:val="22"/>
          <w:szCs w:val="22"/>
        </w:rPr>
        <w:t>Practically, ranking countries could be done by comparing the year-on-year difference between the annual growth rate of the average income per capita and the annual growth rate of income per capita among the bottom 40</w:t>
      </w:r>
      <w:r w:rsidR="0078154A">
        <w:rPr>
          <w:rFonts w:asciiTheme="majorHAnsi" w:hAnsiTheme="majorHAnsi" w:cstheme="majorHAnsi"/>
          <w:color w:val="000000"/>
          <w:sz w:val="22"/>
          <w:szCs w:val="22"/>
        </w:rPr>
        <w:t xml:space="preserve"> percent</w:t>
      </w:r>
      <w:r w:rsidRPr="00512B6E">
        <w:rPr>
          <w:rFonts w:asciiTheme="majorHAnsi" w:hAnsiTheme="majorHAnsi" w:cstheme="majorHAnsi"/>
          <w:color w:val="000000"/>
          <w:sz w:val="22"/>
          <w:szCs w:val="22"/>
        </w:rPr>
        <w:t xml:space="preserve"> on a country basis. Countries with the highest difference would rank highest.</w:t>
      </w:r>
      <w:r w:rsidR="00D622CD" w:rsidRPr="00512B6E">
        <w:rPr>
          <w:rFonts w:asciiTheme="majorHAnsi" w:hAnsiTheme="majorHAnsi" w:cstheme="majorHAnsi"/>
          <w:color w:val="000000"/>
          <w:sz w:val="22"/>
          <w:szCs w:val="22"/>
        </w:rPr>
        <w:t xml:space="preserve"> </w:t>
      </w:r>
    </w:p>
    <w:p w14:paraId="1E729D73" w14:textId="77777777" w:rsidR="00E37A0E" w:rsidRPr="00512B6E" w:rsidRDefault="00E37A0E" w:rsidP="006C2C9E">
      <w:pPr>
        <w:shd w:val="clear" w:color="auto" w:fill="FFFFFF"/>
        <w:jc w:val="both"/>
        <w:rPr>
          <w:rFonts w:asciiTheme="majorHAnsi" w:hAnsiTheme="majorHAnsi" w:cstheme="majorHAnsi"/>
          <w:color w:val="000000"/>
          <w:sz w:val="22"/>
          <w:szCs w:val="22"/>
        </w:rPr>
      </w:pPr>
    </w:p>
    <w:p w14:paraId="2E0EF927" w14:textId="15BC92FC" w:rsidR="00E37A0E" w:rsidRPr="00512B6E" w:rsidRDefault="00512B6E">
      <w:pPr>
        <w:shd w:val="clear" w:color="auto" w:fill="FFFFFF" w:themeFill="background1"/>
        <w:jc w:val="center"/>
        <w:rPr>
          <w:rFonts w:asciiTheme="majorHAnsi" w:hAnsiTheme="majorHAnsi" w:cstheme="majorHAnsi"/>
          <w:color w:val="000000"/>
          <w:sz w:val="22"/>
          <w:szCs w:val="22"/>
        </w:rPr>
      </w:pPr>
      <w:r w:rsidRPr="00512B6E">
        <w:rPr>
          <w:rFonts w:asciiTheme="majorHAnsi" w:hAnsiTheme="majorHAnsi" w:cstheme="majorHAnsi"/>
          <w:color w:val="000000"/>
          <w:sz w:val="22"/>
          <w:szCs w:val="22"/>
        </w:rPr>
        <w:t>&lt; Table 2</w:t>
      </w:r>
      <w:r w:rsidR="00E37A0E" w:rsidRPr="00512B6E">
        <w:rPr>
          <w:rFonts w:asciiTheme="majorHAnsi" w:hAnsiTheme="majorHAnsi" w:cstheme="majorHAnsi"/>
          <w:color w:val="000000"/>
          <w:sz w:val="22"/>
          <w:szCs w:val="22"/>
        </w:rPr>
        <w:t xml:space="preserve"> &gt; </w:t>
      </w:r>
    </w:p>
    <w:p w14:paraId="286B098D" w14:textId="77777777" w:rsidR="00E37A0E" w:rsidRPr="00512B6E" w:rsidRDefault="00E37A0E" w:rsidP="00410F44">
      <w:pPr>
        <w:shd w:val="clear" w:color="auto" w:fill="FFFFFF"/>
        <w:jc w:val="center"/>
        <w:rPr>
          <w:rFonts w:asciiTheme="majorHAnsi" w:hAnsiTheme="majorHAnsi" w:cstheme="majorHAnsi"/>
          <w:color w:val="000000"/>
          <w:sz w:val="22"/>
          <w:szCs w:val="22"/>
        </w:rPr>
      </w:pPr>
    </w:p>
    <w:p w14:paraId="6A248C21" w14:textId="678D59B4" w:rsidR="00BD3CC3" w:rsidRPr="00512B6E" w:rsidRDefault="00DB7842">
      <w:pPr>
        <w:shd w:val="clear" w:color="auto" w:fill="FFFFFF" w:themeFill="background1"/>
        <w:jc w:val="both"/>
        <w:rPr>
          <w:rFonts w:asciiTheme="majorHAnsi" w:hAnsiTheme="majorHAnsi" w:cstheme="majorHAnsi"/>
          <w:color w:val="000000" w:themeColor="text1"/>
          <w:sz w:val="22"/>
          <w:szCs w:val="22"/>
        </w:rPr>
      </w:pPr>
      <w:r w:rsidRPr="00512B6E">
        <w:rPr>
          <w:rFonts w:asciiTheme="majorHAnsi" w:hAnsiTheme="majorHAnsi" w:cstheme="majorHAnsi"/>
          <w:color w:val="000000"/>
          <w:sz w:val="22"/>
          <w:szCs w:val="22"/>
        </w:rPr>
        <w:t>Tab</w:t>
      </w:r>
      <w:r w:rsidR="00512B6E" w:rsidRPr="00512B6E">
        <w:rPr>
          <w:rFonts w:asciiTheme="majorHAnsi" w:hAnsiTheme="majorHAnsi" w:cstheme="majorHAnsi"/>
          <w:color w:val="000000"/>
          <w:sz w:val="22"/>
          <w:szCs w:val="22"/>
        </w:rPr>
        <w:t>le 2</w:t>
      </w:r>
      <w:r w:rsidRPr="00512B6E">
        <w:rPr>
          <w:rFonts w:asciiTheme="majorHAnsi" w:hAnsiTheme="majorHAnsi" w:cstheme="majorHAnsi"/>
          <w:color w:val="000000"/>
          <w:sz w:val="22"/>
          <w:szCs w:val="22"/>
        </w:rPr>
        <w:t xml:space="preserve"> </w:t>
      </w:r>
      <w:r w:rsidR="00BD3CC3" w:rsidRPr="00512B6E">
        <w:rPr>
          <w:rFonts w:asciiTheme="majorHAnsi" w:hAnsiTheme="majorHAnsi" w:cstheme="majorHAnsi"/>
          <w:color w:val="000000"/>
          <w:sz w:val="22"/>
          <w:szCs w:val="22"/>
        </w:rPr>
        <w:t>encapsulates year-on-year values of target 10.1 and top 1</w:t>
      </w:r>
      <w:r w:rsidR="0078154A">
        <w:rPr>
          <w:rFonts w:asciiTheme="majorHAnsi" w:hAnsiTheme="majorHAnsi" w:cstheme="majorHAnsi"/>
          <w:color w:val="000000"/>
          <w:sz w:val="22"/>
          <w:szCs w:val="22"/>
        </w:rPr>
        <w:t xml:space="preserve"> percent</w:t>
      </w:r>
      <w:r w:rsidR="00BD3CC3" w:rsidRPr="00512B6E">
        <w:rPr>
          <w:rFonts w:asciiTheme="majorHAnsi" w:hAnsiTheme="majorHAnsi" w:cstheme="majorHAnsi"/>
          <w:color w:val="000000"/>
          <w:sz w:val="22"/>
          <w:szCs w:val="22"/>
        </w:rPr>
        <w:t xml:space="preserve"> </w:t>
      </w:r>
      <w:r w:rsidR="00AC705B" w:rsidRPr="00512B6E">
        <w:rPr>
          <w:rFonts w:asciiTheme="majorHAnsi" w:hAnsiTheme="majorHAnsi" w:cstheme="majorHAnsi"/>
          <w:color w:val="000000"/>
          <w:sz w:val="22"/>
          <w:szCs w:val="22"/>
        </w:rPr>
        <w:t xml:space="preserve">per adult pre-tax </w:t>
      </w:r>
      <w:r w:rsidR="00BD3CC3" w:rsidRPr="00512B6E">
        <w:rPr>
          <w:rFonts w:asciiTheme="majorHAnsi" w:hAnsiTheme="majorHAnsi" w:cstheme="majorHAnsi"/>
          <w:color w:val="000000"/>
          <w:sz w:val="22"/>
          <w:szCs w:val="22"/>
        </w:rPr>
        <w:t>income growth for China, France and the US, from 2010 to 2013</w:t>
      </w:r>
      <w:r w:rsidR="006100FA" w:rsidRPr="00512B6E">
        <w:rPr>
          <w:rFonts w:asciiTheme="majorHAnsi" w:hAnsiTheme="majorHAnsi" w:cstheme="majorHAnsi"/>
          <w:color w:val="000000"/>
          <w:sz w:val="22"/>
          <w:szCs w:val="22"/>
        </w:rPr>
        <w:t xml:space="preserve"> </w:t>
      </w:r>
      <w:r w:rsidR="00BD3CC3" w:rsidRPr="00512B6E">
        <w:rPr>
          <w:rFonts w:asciiTheme="majorHAnsi" w:hAnsiTheme="majorHAnsi" w:cstheme="majorHAnsi"/>
          <w:color w:val="000000"/>
          <w:sz w:val="22"/>
          <w:szCs w:val="22"/>
        </w:rPr>
        <w:t xml:space="preserve">(last </w:t>
      </w:r>
      <w:r w:rsidR="007E40AB" w:rsidRPr="00512B6E">
        <w:rPr>
          <w:rFonts w:asciiTheme="majorHAnsi" w:hAnsiTheme="majorHAnsi" w:cstheme="majorHAnsi"/>
          <w:color w:val="000000"/>
          <w:sz w:val="22"/>
          <w:szCs w:val="22"/>
        </w:rPr>
        <w:t>available year-on-year</w:t>
      </w:r>
      <w:r w:rsidR="00BD3CC3" w:rsidRPr="00512B6E">
        <w:rPr>
          <w:rFonts w:asciiTheme="majorHAnsi" w:hAnsiTheme="majorHAnsi" w:cstheme="majorHAnsi"/>
          <w:color w:val="000000"/>
          <w:sz w:val="22"/>
          <w:szCs w:val="22"/>
        </w:rPr>
        <w:t xml:space="preserve"> WID.world data)</w:t>
      </w:r>
      <w:r w:rsidR="00093F99" w:rsidRPr="00512B6E">
        <w:rPr>
          <w:rFonts w:asciiTheme="majorHAnsi" w:hAnsiTheme="majorHAnsi" w:cstheme="majorHAnsi"/>
          <w:color w:val="000000"/>
          <w:sz w:val="22"/>
          <w:szCs w:val="22"/>
        </w:rPr>
        <w:t xml:space="preserve"> and for year 1999-2000</w:t>
      </w:r>
      <w:r w:rsidR="00BD3CC3" w:rsidRPr="00512B6E">
        <w:rPr>
          <w:rFonts w:asciiTheme="majorHAnsi" w:hAnsiTheme="majorHAnsi" w:cstheme="majorHAnsi"/>
          <w:color w:val="000000"/>
          <w:sz w:val="22"/>
          <w:szCs w:val="22"/>
        </w:rPr>
        <w:t>.</w:t>
      </w:r>
      <w:r w:rsidR="00BD3755" w:rsidRPr="00512B6E">
        <w:rPr>
          <w:rFonts w:asciiTheme="majorHAnsi" w:hAnsiTheme="majorHAnsi" w:cstheme="majorHAnsi"/>
          <w:color w:val="000000"/>
          <w:sz w:val="22"/>
          <w:szCs w:val="22"/>
        </w:rPr>
        <w:t xml:space="preserve"> It provides </w:t>
      </w:r>
      <w:r w:rsidR="00F07874" w:rsidRPr="00512B6E">
        <w:rPr>
          <w:rFonts w:asciiTheme="majorHAnsi" w:hAnsiTheme="majorHAnsi" w:cstheme="majorHAnsi"/>
          <w:color w:val="000000"/>
          <w:sz w:val="22"/>
          <w:szCs w:val="22"/>
        </w:rPr>
        <w:t>four</w:t>
      </w:r>
      <w:r w:rsidR="00BD3755" w:rsidRPr="00512B6E">
        <w:rPr>
          <w:rFonts w:asciiTheme="majorHAnsi" w:hAnsiTheme="majorHAnsi" w:cstheme="majorHAnsi"/>
          <w:color w:val="000000"/>
          <w:sz w:val="22"/>
          <w:szCs w:val="22"/>
        </w:rPr>
        <w:t xml:space="preserve"> snap-shots of countries</w:t>
      </w:r>
      <w:r w:rsidR="00DB0F1A" w:rsidRPr="00512B6E">
        <w:rPr>
          <w:rFonts w:asciiTheme="majorHAnsi" w:hAnsiTheme="majorHAnsi" w:cstheme="majorHAnsi"/>
          <w:color w:val="000000"/>
          <w:sz w:val="22"/>
          <w:szCs w:val="22"/>
        </w:rPr>
        <w:t>’</w:t>
      </w:r>
      <w:r w:rsidR="00BD3755" w:rsidRPr="00512B6E">
        <w:rPr>
          <w:rFonts w:asciiTheme="majorHAnsi" w:hAnsiTheme="majorHAnsi" w:cstheme="majorHAnsi"/>
          <w:color w:val="000000"/>
          <w:sz w:val="22"/>
          <w:szCs w:val="22"/>
        </w:rPr>
        <w:t xml:space="preserve"> performance on the official </w:t>
      </w:r>
      <w:r w:rsidR="001C33CA" w:rsidRPr="00512B6E">
        <w:rPr>
          <w:rFonts w:asciiTheme="majorHAnsi" w:hAnsiTheme="majorHAnsi" w:cstheme="majorHAnsi"/>
          <w:color w:val="000000"/>
          <w:sz w:val="22"/>
          <w:szCs w:val="22"/>
        </w:rPr>
        <w:t>(bottom 40</w:t>
      </w:r>
      <w:r w:rsidR="0078154A">
        <w:rPr>
          <w:rFonts w:asciiTheme="majorHAnsi" w:hAnsiTheme="majorHAnsi" w:cstheme="majorHAnsi"/>
          <w:color w:val="000000"/>
          <w:sz w:val="22"/>
          <w:szCs w:val="22"/>
        </w:rPr>
        <w:t xml:space="preserve"> percent</w:t>
      </w:r>
      <w:r w:rsidR="00F07874" w:rsidRPr="00512B6E">
        <w:rPr>
          <w:rFonts w:asciiTheme="majorHAnsi" w:hAnsiTheme="majorHAnsi" w:cstheme="majorHAnsi"/>
          <w:color w:val="000000"/>
          <w:sz w:val="22"/>
          <w:szCs w:val="22"/>
        </w:rPr>
        <w:t>, "Test 1"</w:t>
      </w:r>
      <w:r w:rsidR="001C33CA" w:rsidRPr="00512B6E">
        <w:rPr>
          <w:rFonts w:asciiTheme="majorHAnsi" w:hAnsiTheme="majorHAnsi" w:cstheme="majorHAnsi"/>
          <w:color w:val="000000"/>
          <w:sz w:val="22"/>
          <w:szCs w:val="22"/>
        </w:rPr>
        <w:t xml:space="preserve">) </w:t>
      </w:r>
      <w:r w:rsidR="00BD3755" w:rsidRPr="00512B6E">
        <w:rPr>
          <w:rFonts w:asciiTheme="majorHAnsi" w:hAnsiTheme="majorHAnsi" w:cstheme="majorHAnsi"/>
          <w:color w:val="000000"/>
          <w:sz w:val="22"/>
          <w:szCs w:val="22"/>
        </w:rPr>
        <w:t xml:space="preserve">and complementary </w:t>
      </w:r>
      <w:r w:rsidR="00704BA0" w:rsidRPr="00512B6E">
        <w:rPr>
          <w:rFonts w:asciiTheme="majorHAnsi" w:hAnsiTheme="majorHAnsi" w:cstheme="majorHAnsi"/>
          <w:color w:val="000000"/>
          <w:sz w:val="22"/>
          <w:szCs w:val="22"/>
        </w:rPr>
        <w:t>(</w:t>
      </w:r>
      <w:r w:rsidR="00BD3755" w:rsidRPr="00512B6E">
        <w:rPr>
          <w:rFonts w:asciiTheme="majorHAnsi" w:hAnsiTheme="majorHAnsi" w:cstheme="majorHAnsi"/>
          <w:color w:val="000000"/>
          <w:sz w:val="22"/>
          <w:szCs w:val="22"/>
        </w:rPr>
        <w:t>top 1</w:t>
      </w:r>
      <w:r w:rsidR="0078154A">
        <w:rPr>
          <w:rFonts w:asciiTheme="majorHAnsi" w:hAnsiTheme="majorHAnsi" w:cstheme="majorHAnsi"/>
          <w:color w:val="000000"/>
          <w:sz w:val="22"/>
          <w:szCs w:val="22"/>
        </w:rPr>
        <w:t xml:space="preserve"> percent</w:t>
      </w:r>
      <w:r w:rsidR="00F07874" w:rsidRPr="00512B6E">
        <w:rPr>
          <w:rFonts w:asciiTheme="majorHAnsi" w:hAnsiTheme="majorHAnsi" w:cstheme="majorHAnsi"/>
          <w:color w:val="000000"/>
          <w:sz w:val="22"/>
          <w:szCs w:val="22"/>
        </w:rPr>
        <w:t>, "Test 2"</w:t>
      </w:r>
      <w:r w:rsidR="00BD3755" w:rsidRPr="00512B6E">
        <w:rPr>
          <w:rFonts w:asciiTheme="majorHAnsi" w:hAnsiTheme="majorHAnsi" w:cstheme="majorHAnsi"/>
          <w:color w:val="000000"/>
          <w:sz w:val="22"/>
          <w:szCs w:val="22"/>
        </w:rPr>
        <w:t>) inequality targets and makes a ranking of countries along the bottom 40</w:t>
      </w:r>
      <w:r w:rsidR="0078154A">
        <w:rPr>
          <w:rFonts w:asciiTheme="majorHAnsi" w:hAnsiTheme="majorHAnsi" w:cstheme="majorHAnsi"/>
          <w:color w:val="000000"/>
          <w:sz w:val="22"/>
          <w:szCs w:val="22"/>
        </w:rPr>
        <w:t xml:space="preserve"> percent</w:t>
      </w:r>
      <w:r w:rsidR="00BD3755" w:rsidRPr="00512B6E">
        <w:rPr>
          <w:rFonts w:asciiTheme="majorHAnsi" w:hAnsiTheme="majorHAnsi" w:cstheme="majorHAnsi"/>
          <w:color w:val="000000"/>
          <w:sz w:val="22"/>
          <w:szCs w:val="22"/>
        </w:rPr>
        <w:t xml:space="preserve"> income convergence speed</w:t>
      </w:r>
      <w:r w:rsidR="00345324" w:rsidRPr="00512B6E">
        <w:rPr>
          <w:rFonts w:asciiTheme="majorHAnsi" w:hAnsiTheme="majorHAnsi" w:cstheme="majorHAnsi"/>
          <w:color w:val="000000"/>
          <w:sz w:val="22"/>
          <w:szCs w:val="22"/>
        </w:rPr>
        <w:t xml:space="preserve">, as well as along </w:t>
      </w:r>
      <w:r w:rsidR="008B1D77" w:rsidRPr="00512B6E">
        <w:rPr>
          <w:rFonts w:asciiTheme="majorHAnsi" w:hAnsiTheme="majorHAnsi" w:cstheme="majorHAnsi"/>
          <w:color w:val="000000"/>
          <w:sz w:val="22"/>
          <w:szCs w:val="22"/>
        </w:rPr>
        <w:t>the gap between average and top 1</w:t>
      </w:r>
      <w:r w:rsidR="0078154A">
        <w:rPr>
          <w:rFonts w:asciiTheme="majorHAnsi" w:hAnsiTheme="majorHAnsi" w:cstheme="majorHAnsi"/>
          <w:color w:val="000000"/>
          <w:sz w:val="22"/>
          <w:szCs w:val="22"/>
        </w:rPr>
        <w:t xml:space="preserve"> percent</w:t>
      </w:r>
      <w:r w:rsidR="008B1D77" w:rsidRPr="00512B6E">
        <w:rPr>
          <w:rFonts w:asciiTheme="majorHAnsi" w:hAnsiTheme="majorHAnsi" w:cstheme="majorHAnsi"/>
          <w:color w:val="000000"/>
          <w:sz w:val="22"/>
          <w:szCs w:val="22"/>
        </w:rPr>
        <w:t xml:space="preserve"> growth</w:t>
      </w:r>
      <w:r w:rsidR="00BD3755" w:rsidRPr="00512B6E">
        <w:rPr>
          <w:rFonts w:asciiTheme="majorHAnsi" w:hAnsiTheme="majorHAnsi" w:cstheme="majorHAnsi"/>
          <w:color w:val="000000"/>
          <w:sz w:val="22"/>
          <w:szCs w:val="22"/>
        </w:rPr>
        <w:t xml:space="preserve">. </w:t>
      </w:r>
      <w:r w:rsidR="00BD3CC3" w:rsidRPr="00512B6E">
        <w:rPr>
          <w:rFonts w:asciiTheme="majorHAnsi" w:hAnsiTheme="majorHAnsi" w:cstheme="majorHAnsi"/>
          <w:color w:val="000000"/>
          <w:sz w:val="22"/>
          <w:szCs w:val="22"/>
        </w:rPr>
        <w:t xml:space="preserve"> </w:t>
      </w:r>
      <w:r w:rsidR="008B1D77" w:rsidRPr="00512B6E">
        <w:rPr>
          <w:rFonts w:asciiTheme="majorHAnsi" w:hAnsiTheme="majorHAnsi" w:cstheme="majorHAnsi"/>
          <w:color w:val="000000"/>
          <w:sz w:val="22"/>
          <w:szCs w:val="22"/>
        </w:rPr>
        <w:t xml:space="preserve">Looking at what </w:t>
      </w:r>
      <w:r w:rsidR="00C01041" w:rsidRPr="00512B6E">
        <w:rPr>
          <w:rFonts w:asciiTheme="majorHAnsi" w:hAnsiTheme="majorHAnsi" w:cstheme="majorHAnsi"/>
          <w:color w:val="000000"/>
          <w:sz w:val="22"/>
          <w:szCs w:val="22"/>
        </w:rPr>
        <w:t xml:space="preserve">we </w:t>
      </w:r>
      <w:r w:rsidR="008B1D77" w:rsidRPr="00512B6E">
        <w:rPr>
          <w:rFonts w:asciiTheme="majorHAnsi" w:hAnsiTheme="majorHAnsi" w:cstheme="majorHAnsi"/>
          <w:color w:val="000000"/>
          <w:sz w:val="22"/>
          <w:szCs w:val="22"/>
        </w:rPr>
        <w:t xml:space="preserve">dub the </w:t>
      </w:r>
      <w:r w:rsidR="00F07874" w:rsidRPr="00512B6E">
        <w:rPr>
          <w:rFonts w:asciiTheme="majorHAnsi" w:hAnsiTheme="majorHAnsi" w:cstheme="majorHAnsi"/>
          <w:color w:val="000000"/>
          <w:sz w:val="22"/>
          <w:szCs w:val="22"/>
        </w:rPr>
        <w:t>T</w:t>
      </w:r>
      <w:r w:rsidR="008B1D77" w:rsidRPr="00512B6E">
        <w:rPr>
          <w:rFonts w:asciiTheme="majorHAnsi" w:hAnsiTheme="majorHAnsi" w:cstheme="majorHAnsi"/>
          <w:color w:val="000000"/>
          <w:sz w:val="22"/>
          <w:szCs w:val="22"/>
        </w:rPr>
        <w:t>est</w:t>
      </w:r>
      <w:r w:rsidR="00F07874" w:rsidRPr="00512B6E">
        <w:rPr>
          <w:rFonts w:asciiTheme="majorHAnsi" w:hAnsiTheme="majorHAnsi" w:cstheme="majorHAnsi"/>
          <w:color w:val="000000"/>
          <w:sz w:val="22"/>
          <w:szCs w:val="22"/>
        </w:rPr>
        <w:t xml:space="preserve"> 1</w:t>
      </w:r>
      <w:r w:rsidR="008B1D77" w:rsidRPr="00512B6E">
        <w:rPr>
          <w:rFonts w:asciiTheme="majorHAnsi" w:hAnsiTheme="majorHAnsi" w:cstheme="majorHAnsi"/>
          <w:color w:val="000000"/>
          <w:sz w:val="22"/>
          <w:szCs w:val="22"/>
        </w:rPr>
        <w:t xml:space="preserve">, </w:t>
      </w:r>
      <w:r w:rsidR="00BD3755" w:rsidRPr="00512B6E">
        <w:rPr>
          <w:rFonts w:asciiTheme="majorHAnsi" w:hAnsiTheme="majorHAnsi" w:cstheme="majorHAnsi"/>
          <w:color w:val="000000"/>
          <w:sz w:val="22"/>
          <w:szCs w:val="22"/>
        </w:rPr>
        <w:t xml:space="preserve">China ranked first in 2011 and 2012 and passed the SDG test, but failed in 2013. The other way round, the US failed in 2011 and 2012 but toped in 2013, displaying </w:t>
      </w:r>
      <w:r w:rsidR="005B7DEF" w:rsidRPr="00512B6E">
        <w:rPr>
          <w:rFonts w:asciiTheme="majorHAnsi" w:hAnsiTheme="majorHAnsi" w:cstheme="majorHAnsi"/>
          <w:color w:val="000000"/>
          <w:sz w:val="22"/>
          <w:szCs w:val="22"/>
        </w:rPr>
        <w:t xml:space="preserve">sharp </w:t>
      </w:r>
      <w:r w:rsidR="00BD3755" w:rsidRPr="00512B6E">
        <w:rPr>
          <w:rFonts w:asciiTheme="majorHAnsi" w:hAnsiTheme="majorHAnsi" w:cstheme="majorHAnsi"/>
          <w:color w:val="000000"/>
          <w:sz w:val="22"/>
          <w:szCs w:val="22"/>
        </w:rPr>
        <w:t>year-on-year changes in inequality</w:t>
      </w:r>
      <w:r w:rsidR="00A22944" w:rsidRPr="00512B6E">
        <w:rPr>
          <w:rFonts w:asciiTheme="majorHAnsi" w:hAnsiTheme="majorHAnsi" w:cstheme="majorHAnsi"/>
          <w:color w:val="000000"/>
          <w:sz w:val="22"/>
          <w:szCs w:val="22"/>
        </w:rPr>
        <w:t xml:space="preserve"> pattern.</w:t>
      </w:r>
      <w:r w:rsidR="00BD3755" w:rsidRPr="00512B6E">
        <w:rPr>
          <w:rFonts w:asciiTheme="majorHAnsi" w:hAnsiTheme="majorHAnsi" w:cstheme="majorHAnsi"/>
          <w:color w:val="000000"/>
          <w:sz w:val="22"/>
          <w:szCs w:val="22"/>
        </w:rPr>
        <w:t xml:space="preserve"> </w:t>
      </w:r>
      <w:r w:rsidR="00F07874" w:rsidRPr="00512B6E">
        <w:rPr>
          <w:rFonts w:asciiTheme="majorHAnsi" w:hAnsiTheme="majorHAnsi" w:cstheme="majorHAnsi"/>
          <w:color w:val="000000"/>
          <w:sz w:val="22"/>
          <w:szCs w:val="22"/>
        </w:rPr>
        <w:t xml:space="preserve">Test 2 </w:t>
      </w:r>
      <w:r w:rsidR="0090062D" w:rsidRPr="00512B6E">
        <w:rPr>
          <w:rFonts w:asciiTheme="majorHAnsi" w:hAnsiTheme="majorHAnsi" w:cstheme="majorHAnsi"/>
          <w:color w:val="000000"/>
          <w:sz w:val="22"/>
          <w:szCs w:val="22"/>
        </w:rPr>
        <w:t xml:space="preserve">shows that the ranking of countries </w:t>
      </w:r>
      <w:r w:rsidR="00C16955" w:rsidRPr="00512B6E">
        <w:rPr>
          <w:rFonts w:asciiTheme="majorHAnsi" w:hAnsiTheme="majorHAnsi" w:cstheme="majorHAnsi"/>
          <w:color w:val="000000"/>
          <w:sz w:val="22"/>
          <w:szCs w:val="22"/>
        </w:rPr>
        <w:t>can be modified</w:t>
      </w:r>
      <w:r w:rsidR="0090062D" w:rsidRPr="00512B6E">
        <w:rPr>
          <w:rFonts w:asciiTheme="majorHAnsi" w:hAnsiTheme="majorHAnsi" w:cstheme="majorHAnsi"/>
          <w:color w:val="000000"/>
          <w:sz w:val="22"/>
          <w:szCs w:val="22"/>
        </w:rPr>
        <w:t xml:space="preserve"> when focusing on top 1</w:t>
      </w:r>
      <w:r w:rsidR="00F532F7">
        <w:rPr>
          <w:rFonts w:asciiTheme="majorHAnsi" w:hAnsiTheme="majorHAnsi" w:cstheme="majorHAnsi"/>
          <w:color w:val="000000"/>
          <w:sz w:val="22"/>
          <w:szCs w:val="22"/>
        </w:rPr>
        <w:t xml:space="preserve"> percent</w:t>
      </w:r>
      <w:r w:rsidR="0090062D" w:rsidRPr="00512B6E">
        <w:rPr>
          <w:rFonts w:asciiTheme="majorHAnsi" w:hAnsiTheme="majorHAnsi" w:cstheme="majorHAnsi"/>
          <w:color w:val="000000"/>
          <w:sz w:val="22"/>
          <w:szCs w:val="22"/>
        </w:rPr>
        <w:t xml:space="preserve"> </w:t>
      </w:r>
      <w:r w:rsidR="00091D17" w:rsidRPr="00512B6E">
        <w:rPr>
          <w:rFonts w:asciiTheme="majorHAnsi" w:hAnsiTheme="majorHAnsi" w:cstheme="majorHAnsi"/>
          <w:color w:val="000000"/>
          <w:sz w:val="22"/>
          <w:szCs w:val="22"/>
        </w:rPr>
        <w:t>income growth rather than bottom 40</w:t>
      </w:r>
      <w:r w:rsidR="00F532F7">
        <w:rPr>
          <w:rFonts w:asciiTheme="majorHAnsi" w:hAnsiTheme="majorHAnsi" w:cstheme="majorHAnsi"/>
          <w:color w:val="000000"/>
          <w:sz w:val="22"/>
          <w:szCs w:val="22"/>
        </w:rPr>
        <w:t xml:space="preserve"> percent</w:t>
      </w:r>
      <w:r w:rsidR="00C639F3" w:rsidRPr="00512B6E">
        <w:rPr>
          <w:rFonts w:asciiTheme="majorHAnsi" w:hAnsiTheme="majorHAnsi" w:cstheme="majorHAnsi"/>
          <w:color w:val="000000"/>
          <w:sz w:val="22"/>
          <w:szCs w:val="22"/>
        </w:rPr>
        <w:t xml:space="preserve">. </w:t>
      </w:r>
      <w:r w:rsidR="00F07874" w:rsidRPr="00512B6E">
        <w:rPr>
          <w:rFonts w:asciiTheme="majorHAnsi" w:hAnsiTheme="majorHAnsi" w:cstheme="majorHAnsi"/>
          <w:color w:val="000000"/>
          <w:sz w:val="22"/>
          <w:szCs w:val="22"/>
        </w:rPr>
        <w:t xml:space="preserve">In 1999-2000 for instance, France passes Test 1 but </w:t>
      </w:r>
      <w:r w:rsidR="00221470" w:rsidRPr="00512B6E">
        <w:rPr>
          <w:rFonts w:asciiTheme="majorHAnsi" w:hAnsiTheme="majorHAnsi" w:cstheme="majorHAnsi"/>
          <w:color w:val="000000"/>
          <w:sz w:val="22"/>
          <w:szCs w:val="22"/>
        </w:rPr>
        <w:t>fail</w:t>
      </w:r>
      <w:r w:rsidR="00F07874" w:rsidRPr="00512B6E">
        <w:rPr>
          <w:rFonts w:asciiTheme="majorHAnsi" w:hAnsiTheme="majorHAnsi" w:cstheme="majorHAnsi"/>
          <w:color w:val="000000"/>
          <w:sz w:val="22"/>
          <w:szCs w:val="22"/>
        </w:rPr>
        <w:t>s on Test 2</w:t>
      </w:r>
      <w:r w:rsidR="00221470" w:rsidRPr="00512B6E">
        <w:rPr>
          <w:rFonts w:asciiTheme="majorHAnsi" w:hAnsiTheme="majorHAnsi" w:cstheme="majorHAnsi"/>
          <w:color w:val="000000"/>
          <w:sz w:val="22"/>
          <w:szCs w:val="22"/>
        </w:rPr>
        <w:t xml:space="preserve">. </w:t>
      </w:r>
    </w:p>
    <w:p w14:paraId="6E3D5675" w14:textId="530CCF61" w:rsidR="00C472A0" w:rsidRPr="00512B6E" w:rsidRDefault="007416D3" w:rsidP="00C472A0">
      <w:pPr>
        <w:shd w:val="clear" w:color="auto" w:fill="FFFFFF"/>
        <w:jc w:val="both"/>
        <w:rPr>
          <w:rFonts w:asciiTheme="majorHAnsi" w:hAnsiTheme="majorHAnsi" w:cstheme="majorHAnsi"/>
          <w:color w:val="000000"/>
          <w:sz w:val="22"/>
          <w:szCs w:val="22"/>
        </w:rPr>
      </w:pPr>
      <w:r w:rsidRPr="00512B6E">
        <w:rPr>
          <w:rFonts w:asciiTheme="majorHAnsi" w:hAnsiTheme="majorHAnsi" w:cstheme="majorHAnsi"/>
          <w:color w:val="000000"/>
          <w:sz w:val="22"/>
          <w:szCs w:val="22"/>
        </w:rPr>
        <w:t xml:space="preserve"> </w:t>
      </w:r>
    </w:p>
    <w:p w14:paraId="46B426A6" w14:textId="56EEF460" w:rsidR="003E560D" w:rsidRPr="00512B6E" w:rsidRDefault="006100FA" w:rsidP="00C01041">
      <w:pPr>
        <w:shd w:val="clear" w:color="auto" w:fill="FFFFFF" w:themeFill="background1"/>
        <w:jc w:val="both"/>
        <w:rPr>
          <w:rFonts w:asciiTheme="majorHAnsi" w:hAnsiTheme="majorHAnsi" w:cstheme="majorHAnsi"/>
          <w:color w:val="222222"/>
          <w:sz w:val="22"/>
          <w:szCs w:val="22"/>
          <w:lang w:val="en-GB"/>
        </w:rPr>
      </w:pPr>
      <w:r w:rsidRPr="00512B6E">
        <w:rPr>
          <w:rFonts w:asciiTheme="majorHAnsi" w:hAnsiTheme="majorHAnsi" w:cstheme="majorHAnsi"/>
          <w:sz w:val="22"/>
          <w:szCs w:val="22"/>
        </w:rPr>
        <w:t>C</w:t>
      </w:r>
      <w:r w:rsidR="003E560D" w:rsidRPr="00512B6E">
        <w:rPr>
          <w:rFonts w:asciiTheme="majorHAnsi" w:hAnsiTheme="majorHAnsi" w:cstheme="majorHAnsi"/>
          <w:sz w:val="22"/>
          <w:szCs w:val="22"/>
        </w:rPr>
        <w:t xml:space="preserve">ountry ranking </w:t>
      </w:r>
      <w:r w:rsidR="00C472A0" w:rsidRPr="00512B6E">
        <w:rPr>
          <w:rFonts w:asciiTheme="majorHAnsi" w:hAnsiTheme="majorHAnsi" w:cstheme="majorHAnsi"/>
          <w:sz w:val="22"/>
          <w:szCs w:val="22"/>
        </w:rPr>
        <w:t xml:space="preserve">would be </w:t>
      </w:r>
      <w:r w:rsidR="003E560D" w:rsidRPr="00512B6E">
        <w:rPr>
          <w:rFonts w:asciiTheme="majorHAnsi" w:hAnsiTheme="majorHAnsi" w:cstheme="majorHAnsi"/>
          <w:sz w:val="22"/>
          <w:szCs w:val="22"/>
        </w:rPr>
        <w:t>technically feasible thanks to national statistical reports on SDGs</w:t>
      </w:r>
      <w:r w:rsidRPr="00512B6E">
        <w:rPr>
          <w:rFonts w:asciiTheme="majorHAnsi" w:hAnsiTheme="majorHAnsi" w:cstheme="majorHAnsi"/>
          <w:sz w:val="22"/>
          <w:szCs w:val="22"/>
        </w:rPr>
        <w:t xml:space="preserve">. We must be clear however that </w:t>
      </w:r>
      <w:r w:rsidR="003E560D" w:rsidRPr="00512B6E">
        <w:rPr>
          <w:rFonts w:asciiTheme="majorHAnsi" w:hAnsiTheme="majorHAnsi" w:cstheme="majorHAnsi"/>
          <w:sz w:val="22"/>
          <w:szCs w:val="22"/>
        </w:rPr>
        <w:t>it remains politically tricky. Ranking countries according to their performance in achieving specific goals and targets is very unlikely to become part of the mandate of the UN High Level Political Forum</w:t>
      </w:r>
      <w:r w:rsidR="00FA2461" w:rsidRPr="00512B6E">
        <w:rPr>
          <w:rFonts w:asciiTheme="majorHAnsi" w:hAnsiTheme="majorHAnsi" w:cstheme="majorHAnsi"/>
          <w:sz w:val="22"/>
          <w:szCs w:val="22"/>
        </w:rPr>
        <w:t xml:space="preserve"> (HLPF)</w:t>
      </w:r>
      <w:r w:rsidR="003E560D" w:rsidRPr="00512B6E">
        <w:rPr>
          <w:rFonts w:asciiTheme="majorHAnsi" w:hAnsiTheme="majorHAnsi" w:cstheme="majorHAnsi"/>
          <w:sz w:val="22"/>
          <w:szCs w:val="22"/>
        </w:rPr>
        <w:t>. This ranking</w:t>
      </w:r>
      <w:r w:rsidRPr="00512B6E">
        <w:rPr>
          <w:rFonts w:asciiTheme="majorHAnsi" w:hAnsiTheme="majorHAnsi" w:cstheme="majorHAnsi"/>
          <w:sz w:val="22"/>
          <w:szCs w:val="22"/>
        </w:rPr>
        <w:t xml:space="preserve"> </w:t>
      </w:r>
      <w:r w:rsidR="003E560D" w:rsidRPr="00512B6E">
        <w:rPr>
          <w:rFonts w:asciiTheme="majorHAnsi" w:hAnsiTheme="majorHAnsi" w:cstheme="majorHAnsi"/>
          <w:sz w:val="22"/>
          <w:szCs w:val="22"/>
        </w:rPr>
        <w:t>could be produced instead by coalitions of Think Tanks</w:t>
      </w:r>
      <w:r w:rsidR="00CC79EF" w:rsidRPr="00512B6E">
        <w:rPr>
          <w:rFonts w:asciiTheme="majorHAnsi" w:hAnsiTheme="majorHAnsi" w:cstheme="majorHAnsi"/>
          <w:sz w:val="22"/>
          <w:szCs w:val="22"/>
        </w:rPr>
        <w:t>,</w:t>
      </w:r>
      <w:r w:rsidR="003E560D" w:rsidRPr="00512B6E">
        <w:rPr>
          <w:rFonts w:asciiTheme="majorHAnsi" w:hAnsiTheme="majorHAnsi" w:cstheme="majorHAnsi"/>
          <w:sz w:val="22"/>
          <w:szCs w:val="22"/>
        </w:rPr>
        <w:t xml:space="preserve"> research institutions </w:t>
      </w:r>
      <w:r w:rsidR="00CC79EF" w:rsidRPr="00512B6E">
        <w:rPr>
          <w:rFonts w:asciiTheme="majorHAnsi" w:hAnsiTheme="majorHAnsi" w:cstheme="majorHAnsi"/>
          <w:sz w:val="22"/>
          <w:szCs w:val="22"/>
        </w:rPr>
        <w:t xml:space="preserve">and civil society organizations (CSO) </w:t>
      </w:r>
      <w:r w:rsidR="003E560D" w:rsidRPr="00512B6E">
        <w:rPr>
          <w:rFonts w:asciiTheme="majorHAnsi" w:hAnsiTheme="majorHAnsi" w:cstheme="majorHAnsi"/>
          <w:sz w:val="22"/>
          <w:szCs w:val="22"/>
        </w:rPr>
        <w:t>out</w:t>
      </w:r>
      <w:r w:rsidR="00301540" w:rsidRPr="00512B6E">
        <w:rPr>
          <w:rFonts w:asciiTheme="majorHAnsi" w:hAnsiTheme="majorHAnsi" w:cstheme="majorHAnsi"/>
          <w:sz w:val="22"/>
          <w:szCs w:val="22"/>
        </w:rPr>
        <w:t>side</w:t>
      </w:r>
      <w:r w:rsidR="003E560D" w:rsidRPr="00512B6E">
        <w:rPr>
          <w:rFonts w:asciiTheme="majorHAnsi" w:hAnsiTheme="majorHAnsi" w:cstheme="majorHAnsi"/>
          <w:sz w:val="22"/>
          <w:szCs w:val="22"/>
        </w:rPr>
        <w:t xml:space="preserve"> of the UN system. </w:t>
      </w:r>
      <w:r w:rsidR="007416D3" w:rsidRPr="00512B6E">
        <w:rPr>
          <w:rFonts w:asciiTheme="majorHAnsi" w:hAnsiTheme="majorHAnsi" w:cstheme="majorHAnsi"/>
          <w:sz w:val="22"/>
          <w:szCs w:val="22"/>
        </w:rPr>
        <w:t xml:space="preserve">Some initiatives are underway. Taking a comprehensive approach of the SDGs, the SDSN has </w:t>
      </w:r>
      <w:r w:rsidR="00116AB0" w:rsidRPr="00512B6E">
        <w:rPr>
          <w:rFonts w:asciiTheme="majorHAnsi" w:hAnsiTheme="majorHAnsi" w:cstheme="majorHAnsi"/>
          <w:sz w:val="22"/>
          <w:szCs w:val="22"/>
        </w:rPr>
        <w:t xml:space="preserve">developed a SDG index and </w:t>
      </w:r>
      <w:hyperlink r:id="rId14" w:history="1">
        <w:r w:rsidR="00116AB0" w:rsidRPr="00DB1930">
          <w:rPr>
            <w:rStyle w:val="Lienhypertexte"/>
            <w:rFonts w:asciiTheme="majorHAnsi" w:hAnsiTheme="majorHAnsi" w:cstheme="majorHAnsi"/>
            <w:sz w:val="22"/>
            <w:szCs w:val="22"/>
          </w:rPr>
          <w:t>dashboard for country ranking</w:t>
        </w:r>
      </w:hyperlink>
      <w:r w:rsidR="00F532F7">
        <w:rPr>
          <w:rFonts w:asciiTheme="majorHAnsi" w:hAnsiTheme="majorHAnsi" w:cstheme="majorHAnsi"/>
          <w:sz w:val="22"/>
          <w:szCs w:val="22"/>
        </w:rPr>
        <w:t>.</w:t>
      </w:r>
      <w:r w:rsidR="00116AB0" w:rsidRPr="00512B6E">
        <w:rPr>
          <w:rFonts w:asciiTheme="majorHAnsi" w:hAnsiTheme="majorHAnsi" w:cstheme="majorHAnsi"/>
          <w:sz w:val="22"/>
          <w:szCs w:val="22"/>
        </w:rPr>
        <w:t xml:space="preserve">  </w:t>
      </w:r>
      <w:r w:rsidR="00D622CD" w:rsidRPr="00360DDD">
        <w:rPr>
          <w:rFonts w:asciiTheme="majorHAnsi" w:hAnsiTheme="majorHAnsi" w:cstheme="majorHAnsi"/>
          <w:i/>
          <w:sz w:val="22"/>
          <w:szCs w:val="22"/>
        </w:rPr>
        <w:t xml:space="preserve">The </w:t>
      </w:r>
      <w:r w:rsidR="00CC79EF" w:rsidRPr="00360DDD">
        <w:rPr>
          <w:rFonts w:asciiTheme="majorHAnsi" w:hAnsiTheme="majorHAnsi" w:cstheme="majorHAnsi"/>
          <w:i/>
          <w:sz w:val="22"/>
          <w:szCs w:val="22"/>
        </w:rPr>
        <w:t>Migration and Development Civil Society Network</w:t>
      </w:r>
      <w:r w:rsidR="00CC79EF" w:rsidRPr="00512B6E">
        <w:rPr>
          <w:rFonts w:asciiTheme="majorHAnsi" w:hAnsiTheme="majorHAnsi" w:cstheme="majorHAnsi"/>
          <w:sz w:val="22"/>
          <w:szCs w:val="22"/>
        </w:rPr>
        <w:t xml:space="preserve"> (MADE) in cooperation with </w:t>
      </w:r>
      <w:r w:rsidR="00CC79EF" w:rsidRPr="00360DDD">
        <w:rPr>
          <w:rFonts w:asciiTheme="majorHAnsi" w:hAnsiTheme="majorHAnsi" w:cstheme="majorHAnsi"/>
          <w:i/>
          <w:sz w:val="22"/>
          <w:szCs w:val="22"/>
        </w:rPr>
        <w:t>Cordaid</w:t>
      </w:r>
      <w:r w:rsidR="00CC79EF" w:rsidRPr="00512B6E">
        <w:rPr>
          <w:rFonts w:asciiTheme="majorHAnsi" w:hAnsiTheme="majorHAnsi" w:cstheme="majorHAnsi"/>
          <w:sz w:val="22"/>
          <w:szCs w:val="22"/>
        </w:rPr>
        <w:t xml:space="preserve"> has drafted </w:t>
      </w:r>
      <w:r w:rsidR="00CC79EF" w:rsidRPr="00360DDD">
        <w:rPr>
          <w:rFonts w:asciiTheme="majorHAnsi" w:hAnsiTheme="majorHAnsi" w:cstheme="majorHAnsi"/>
          <w:i/>
          <w:sz w:val="22"/>
          <w:szCs w:val="22"/>
        </w:rPr>
        <w:t>Proposals for Shadow Reporting on SDG implementation</w:t>
      </w:r>
      <w:r w:rsidR="00F532F7">
        <w:rPr>
          <w:rFonts w:asciiTheme="majorHAnsi" w:hAnsiTheme="majorHAnsi" w:cstheme="majorHAnsi"/>
          <w:sz w:val="22"/>
          <w:szCs w:val="22"/>
        </w:rPr>
        <w:t xml:space="preserve">. </w:t>
      </w:r>
      <w:r w:rsidR="000430C0" w:rsidRPr="00512B6E">
        <w:rPr>
          <w:rFonts w:asciiTheme="majorHAnsi" w:hAnsiTheme="majorHAnsi" w:cstheme="majorHAnsi"/>
          <w:sz w:val="22"/>
          <w:szCs w:val="22"/>
        </w:rPr>
        <w:t xml:space="preserve">Transparency International </w:t>
      </w:r>
      <w:r w:rsidR="004B5F74" w:rsidRPr="00512B6E">
        <w:rPr>
          <w:rFonts w:asciiTheme="majorHAnsi" w:hAnsiTheme="majorHAnsi" w:cstheme="majorHAnsi"/>
          <w:sz w:val="22"/>
          <w:szCs w:val="22"/>
        </w:rPr>
        <w:t xml:space="preserve">issued </w:t>
      </w:r>
      <w:r w:rsidR="000430C0" w:rsidRPr="00512B6E">
        <w:rPr>
          <w:rFonts w:asciiTheme="majorHAnsi" w:hAnsiTheme="majorHAnsi" w:cstheme="majorHAnsi"/>
          <w:sz w:val="22"/>
          <w:szCs w:val="22"/>
        </w:rPr>
        <w:t>a methodological Note for SDG shadow reporting questionnaire</w:t>
      </w:r>
      <w:r w:rsidR="00703D7C" w:rsidRPr="00512B6E">
        <w:rPr>
          <w:rFonts w:asciiTheme="majorHAnsi" w:hAnsiTheme="majorHAnsi" w:cstheme="majorHAnsi"/>
          <w:sz w:val="22"/>
          <w:szCs w:val="22"/>
        </w:rPr>
        <w:t xml:space="preserve"> to</w:t>
      </w:r>
      <w:r w:rsidR="00703D7C" w:rsidRPr="00512B6E">
        <w:rPr>
          <w:rFonts w:asciiTheme="majorHAnsi" w:hAnsiTheme="majorHAnsi" w:cstheme="majorHAnsi"/>
          <w:sz w:val="22"/>
          <w:szCs w:val="22"/>
          <w:shd w:val="clear" w:color="auto" w:fill="FFFFFF"/>
        </w:rPr>
        <w:t xml:space="preserve"> “</w:t>
      </w:r>
      <w:hyperlink r:id="rId15" w:history="1">
        <w:r w:rsidR="004B5F74" w:rsidRPr="00DB1930">
          <w:rPr>
            <w:rStyle w:val="Lienhypertexte"/>
            <w:rFonts w:asciiTheme="majorHAnsi" w:hAnsiTheme="majorHAnsi" w:cstheme="majorHAnsi"/>
            <w:sz w:val="22"/>
            <w:szCs w:val="22"/>
            <w:shd w:val="clear" w:color="auto" w:fill="FFFFFF"/>
          </w:rPr>
          <w:t>help assess progress towards three SDG targets linked to anti-corruption and government transparency</w:t>
        </w:r>
      </w:hyperlink>
      <w:r w:rsidR="004B5F74" w:rsidRPr="00512B6E">
        <w:rPr>
          <w:rFonts w:asciiTheme="majorHAnsi" w:hAnsiTheme="majorHAnsi" w:cstheme="majorHAnsi"/>
          <w:sz w:val="22"/>
          <w:szCs w:val="22"/>
          <w:shd w:val="clear" w:color="auto" w:fill="FFFFFF"/>
        </w:rPr>
        <w:t xml:space="preserve">” and make comparisons across countries. </w:t>
      </w:r>
      <w:r w:rsidR="00DB0F1A" w:rsidRPr="00512B6E">
        <w:rPr>
          <w:rFonts w:asciiTheme="majorHAnsi" w:hAnsiTheme="majorHAnsi" w:cstheme="majorHAnsi"/>
          <w:sz w:val="22"/>
          <w:szCs w:val="22"/>
          <w:shd w:val="clear" w:color="auto" w:fill="FFFFFF"/>
        </w:rPr>
        <w:t xml:space="preserve">In this context there both a clear need and a space </w:t>
      </w:r>
      <w:r w:rsidR="004B5F74" w:rsidRPr="00512B6E">
        <w:rPr>
          <w:rFonts w:asciiTheme="majorHAnsi" w:hAnsiTheme="majorHAnsi" w:cstheme="majorHAnsi"/>
          <w:sz w:val="22"/>
          <w:szCs w:val="22"/>
          <w:shd w:val="clear" w:color="auto" w:fill="FFFFFF"/>
        </w:rPr>
        <w:t xml:space="preserve">for inequality ranking across countries that </w:t>
      </w:r>
      <w:r w:rsidR="007159C6" w:rsidRPr="00512B6E">
        <w:rPr>
          <w:rFonts w:asciiTheme="majorHAnsi" w:hAnsiTheme="majorHAnsi" w:cstheme="majorHAnsi"/>
          <w:sz w:val="22"/>
          <w:szCs w:val="22"/>
          <w:shd w:val="clear" w:color="auto" w:fill="FFFFFF"/>
        </w:rPr>
        <w:t xml:space="preserve">could </w:t>
      </w:r>
      <w:r w:rsidR="004B5F74" w:rsidRPr="00512B6E">
        <w:rPr>
          <w:rFonts w:asciiTheme="majorHAnsi" w:hAnsiTheme="majorHAnsi" w:cstheme="majorHAnsi"/>
          <w:sz w:val="22"/>
          <w:szCs w:val="22"/>
          <w:shd w:val="clear" w:color="auto" w:fill="FFFFFF"/>
        </w:rPr>
        <w:t>be filled</w:t>
      </w:r>
      <w:r w:rsidR="007159C6" w:rsidRPr="00512B6E">
        <w:rPr>
          <w:rFonts w:asciiTheme="majorHAnsi" w:hAnsiTheme="majorHAnsi" w:cstheme="majorHAnsi"/>
          <w:sz w:val="22"/>
          <w:szCs w:val="22"/>
          <w:shd w:val="clear" w:color="auto" w:fill="FFFFFF"/>
        </w:rPr>
        <w:t xml:space="preserve"> by the economic inequality and environmental inequality communities together</w:t>
      </w:r>
      <w:r w:rsidR="00C01041" w:rsidRPr="00512B6E">
        <w:rPr>
          <w:rFonts w:asciiTheme="majorHAnsi" w:hAnsiTheme="majorHAnsi" w:cstheme="majorHAnsi"/>
          <w:sz w:val="22"/>
          <w:szCs w:val="22"/>
          <w:shd w:val="clear" w:color="auto" w:fill="FFFFFF"/>
        </w:rPr>
        <w:t xml:space="preserve">. </w:t>
      </w:r>
    </w:p>
    <w:p w14:paraId="05868052" w14:textId="77777777" w:rsidR="00C472A0" w:rsidRPr="00512B6E" w:rsidRDefault="00C472A0">
      <w:pPr>
        <w:pStyle w:val="Titre1"/>
        <w:jc w:val="both"/>
        <w:rPr>
          <w:rFonts w:asciiTheme="majorHAnsi" w:hAnsiTheme="majorHAnsi" w:cstheme="majorHAnsi"/>
          <w:sz w:val="22"/>
          <w:szCs w:val="22"/>
        </w:rPr>
      </w:pPr>
      <w:bookmarkStart w:id="5" w:name="_Toc467716431"/>
    </w:p>
    <w:p w14:paraId="16B6E1A8" w14:textId="1D133936" w:rsidR="00D2786E" w:rsidRPr="00512B6E" w:rsidRDefault="00C472A0">
      <w:pPr>
        <w:pStyle w:val="Titre1"/>
        <w:jc w:val="both"/>
        <w:rPr>
          <w:rFonts w:asciiTheme="majorHAnsi" w:hAnsiTheme="majorHAnsi" w:cstheme="majorHAnsi"/>
          <w:sz w:val="22"/>
          <w:szCs w:val="22"/>
        </w:rPr>
      </w:pPr>
      <w:r w:rsidRPr="00512B6E">
        <w:rPr>
          <w:rFonts w:asciiTheme="majorHAnsi" w:hAnsiTheme="majorHAnsi" w:cstheme="majorHAnsi"/>
          <w:sz w:val="22"/>
          <w:szCs w:val="22"/>
        </w:rPr>
        <w:t>Conclusion</w:t>
      </w:r>
    </w:p>
    <w:p w14:paraId="311662DF" w14:textId="77777777" w:rsidR="00C472A0" w:rsidRPr="00512B6E" w:rsidRDefault="00C472A0" w:rsidP="00C472A0">
      <w:pPr>
        <w:pStyle w:val="Titre1"/>
        <w:jc w:val="both"/>
        <w:rPr>
          <w:rFonts w:asciiTheme="majorHAnsi" w:hAnsiTheme="majorHAnsi" w:cstheme="majorHAnsi"/>
          <w:b w:val="0"/>
          <w:sz w:val="22"/>
          <w:szCs w:val="22"/>
        </w:rPr>
      </w:pPr>
      <w:r w:rsidRPr="00512B6E">
        <w:rPr>
          <w:rFonts w:asciiTheme="majorHAnsi" w:hAnsiTheme="majorHAnsi" w:cstheme="majorHAnsi"/>
          <w:b w:val="0"/>
          <w:sz w:val="22"/>
          <w:szCs w:val="22"/>
        </w:rPr>
        <w:t xml:space="preserve">Rising economic inequality within countries is a defining challenge of our time. A growing body of literature highlights the negative impacts of domestic inequality on a wide number of political, social, economic and environmental problems – thus making of domestic inequality a key sustainable development challenge. However, over the past decade, despite growing concern, debates have not been converted into action and domestic inequality keeps rising. </w:t>
      </w:r>
    </w:p>
    <w:p w14:paraId="1E64D384" w14:textId="453958BA" w:rsidR="00C472A0" w:rsidRPr="00512B6E" w:rsidRDefault="00C472A0" w:rsidP="00C472A0">
      <w:pPr>
        <w:pStyle w:val="Titre1"/>
        <w:jc w:val="both"/>
        <w:rPr>
          <w:rFonts w:asciiTheme="majorHAnsi" w:hAnsiTheme="majorHAnsi" w:cstheme="majorHAnsi"/>
          <w:b w:val="0"/>
          <w:sz w:val="22"/>
          <w:szCs w:val="22"/>
        </w:rPr>
      </w:pPr>
      <w:r w:rsidRPr="00512B6E">
        <w:rPr>
          <w:rFonts w:asciiTheme="majorHAnsi" w:hAnsiTheme="majorHAnsi" w:cstheme="majorHAnsi"/>
          <w:b w:val="0"/>
          <w:sz w:val="22"/>
          <w:szCs w:val="22"/>
        </w:rPr>
        <w:t xml:space="preserve">The inclusion of inequality within the Sustainable Development Goals framework shows that the international community is now willing to tackle this problem. The SDGs provide </w:t>
      </w:r>
      <w:r w:rsidR="00A1295C">
        <w:rPr>
          <w:rFonts w:asciiTheme="majorHAnsi" w:hAnsiTheme="majorHAnsi" w:cstheme="majorHAnsi"/>
          <w:b w:val="0"/>
          <w:sz w:val="22"/>
          <w:szCs w:val="22"/>
        </w:rPr>
        <w:t xml:space="preserve">several </w:t>
      </w:r>
      <w:r w:rsidRPr="00512B6E">
        <w:rPr>
          <w:rFonts w:asciiTheme="majorHAnsi" w:hAnsiTheme="majorHAnsi" w:cstheme="majorHAnsi"/>
          <w:b w:val="0"/>
          <w:sz w:val="22"/>
          <w:szCs w:val="22"/>
        </w:rPr>
        <w:t xml:space="preserve">levers to turn the global inequality debate into action: a common metric, </w:t>
      </w:r>
      <w:r w:rsidR="00A1295C">
        <w:rPr>
          <w:rFonts w:asciiTheme="majorHAnsi" w:hAnsiTheme="majorHAnsi" w:cstheme="majorHAnsi"/>
          <w:b w:val="0"/>
          <w:sz w:val="22"/>
          <w:szCs w:val="22"/>
        </w:rPr>
        <w:t xml:space="preserve">peer pressure </w:t>
      </w:r>
      <w:r w:rsidRPr="00512B6E">
        <w:rPr>
          <w:rFonts w:asciiTheme="majorHAnsi" w:hAnsiTheme="majorHAnsi" w:cstheme="majorHAnsi"/>
          <w:b w:val="0"/>
          <w:sz w:val="22"/>
          <w:szCs w:val="22"/>
        </w:rPr>
        <w:lastRenderedPageBreak/>
        <w:t xml:space="preserve">through </w:t>
      </w:r>
      <w:r w:rsidR="00A1295C">
        <w:rPr>
          <w:rFonts w:asciiTheme="majorHAnsi" w:hAnsiTheme="majorHAnsi" w:cstheme="majorHAnsi"/>
          <w:b w:val="0"/>
          <w:sz w:val="22"/>
          <w:szCs w:val="22"/>
        </w:rPr>
        <w:t>a ranking of countries</w:t>
      </w:r>
      <w:r w:rsidRPr="00512B6E">
        <w:rPr>
          <w:rFonts w:asciiTheme="majorHAnsi" w:hAnsiTheme="majorHAnsi" w:cstheme="majorHAnsi"/>
          <w:b w:val="0"/>
          <w:sz w:val="22"/>
          <w:szCs w:val="22"/>
        </w:rPr>
        <w:t xml:space="preserve">, and mutual learning of policies. The contribution of SDGs to each of these levers is </w:t>
      </w:r>
      <w:r w:rsidR="00A1295C">
        <w:rPr>
          <w:rFonts w:asciiTheme="majorHAnsi" w:hAnsiTheme="majorHAnsi" w:cstheme="majorHAnsi"/>
          <w:b w:val="0"/>
          <w:sz w:val="22"/>
          <w:szCs w:val="22"/>
        </w:rPr>
        <w:t>of course</w:t>
      </w:r>
      <w:r w:rsidRPr="00512B6E">
        <w:rPr>
          <w:rFonts w:asciiTheme="majorHAnsi" w:hAnsiTheme="majorHAnsi" w:cstheme="majorHAnsi"/>
          <w:b w:val="0"/>
          <w:sz w:val="22"/>
          <w:szCs w:val="22"/>
        </w:rPr>
        <w:t xml:space="preserve"> </w:t>
      </w:r>
      <w:r w:rsidR="00A1295C">
        <w:rPr>
          <w:rFonts w:asciiTheme="majorHAnsi" w:hAnsiTheme="majorHAnsi" w:cstheme="majorHAnsi"/>
          <w:b w:val="0"/>
          <w:sz w:val="22"/>
          <w:szCs w:val="22"/>
        </w:rPr>
        <w:t>un</w:t>
      </w:r>
      <w:r w:rsidRPr="00512B6E">
        <w:rPr>
          <w:rFonts w:asciiTheme="majorHAnsi" w:hAnsiTheme="majorHAnsi" w:cstheme="majorHAnsi"/>
          <w:b w:val="0"/>
          <w:sz w:val="22"/>
          <w:szCs w:val="22"/>
        </w:rPr>
        <w:t>equal</w:t>
      </w:r>
      <w:r w:rsidR="00A1295C">
        <w:rPr>
          <w:rFonts w:asciiTheme="majorHAnsi" w:hAnsiTheme="majorHAnsi" w:cstheme="majorHAnsi"/>
          <w:b w:val="0"/>
          <w:sz w:val="22"/>
          <w:szCs w:val="22"/>
        </w:rPr>
        <w:t xml:space="preserve">, yet significant enough for SDG 10 to be considered seriously </w:t>
      </w:r>
      <w:r w:rsidR="00FE1223">
        <w:rPr>
          <w:rFonts w:asciiTheme="majorHAnsi" w:hAnsiTheme="majorHAnsi" w:cstheme="majorHAnsi"/>
          <w:b w:val="0"/>
          <w:sz w:val="22"/>
          <w:szCs w:val="22"/>
        </w:rPr>
        <w:t>in</w:t>
      </w:r>
      <w:r w:rsidR="00A1295C">
        <w:rPr>
          <w:rFonts w:asciiTheme="majorHAnsi" w:hAnsiTheme="majorHAnsi" w:cstheme="majorHAnsi"/>
          <w:b w:val="0"/>
          <w:sz w:val="22"/>
          <w:szCs w:val="22"/>
        </w:rPr>
        <w:t xml:space="preserve"> national debates on inequality</w:t>
      </w:r>
      <w:r w:rsidRPr="00512B6E">
        <w:rPr>
          <w:rFonts w:asciiTheme="majorHAnsi" w:hAnsiTheme="majorHAnsi" w:cstheme="majorHAnsi"/>
          <w:b w:val="0"/>
          <w:sz w:val="22"/>
          <w:szCs w:val="22"/>
        </w:rPr>
        <w:t>. While the common metric exists, only significant involvement from civil society and commitment from governments will make it possible for peer pressure and learning to become effective.</w:t>
      </w:r>
    </w:p>
    <w:bookmarkEnd w:id="5"/>
    <w:p w14:paraId="5EB955D2" w14:textId="77777777" w:rsidR="00D2786E" w:rsidRPr="00512B6E" w:rsidRDefault="00D2786E">
      <w:pPr>
        <w:rPr>
          <w:rFonts w:asciiTheme="majorHAnsi" w:hAnsiTheme="majorHAnsi" w:cstheme="majorHAnsi"/>
          <w:b/>
          <w:bCs/>
          <w:sz w:val="22"/>
          <w:szCs w:val="22"/>
          <w:lang w:val="en-GB"/>
        </w:rPr>
      </w:pPr>
    </w:p>
    <w:p w14:paraId="02A779AD" w14:textId="2A7B69D5" w:rsidR="006F1DF9" w:rsidRPr="00512B6E" w:rsidRDefault="006F1DF9">
      <w:pPr>
        <w:rPr>
          <w:rFonts w:asciiTheme="majorHAnsi" w:hAnsiTheme="majorHAnsi" w:cstheme="majorHAnsi"/>
          <w:b/>
          <w:bCs/>
          <w:sz w:val="22"/>
          <w:szCs w:val="22"/>
        </w:rPr>
      </w:pPr>
      <w:r w:rsidRPr="00512B6E">
        <w:rPr>
          <w:rFonts w:asciiTheme="majorHAnsi" w:hAnsiTheme="majorHAnsi" w:cstheme="majorHAnsi"/>
          <w:b/>
          <w:bCs/>
          <w:sz w:val="22"/>
          <w:szCs w:val="22"/>
        </w:rPr>
        <w:t>Bibliography</w:t>
      </w:r>
    </w:p>
    <w:p w14:paraId="6DF3940C" w14:textId="77777777" w:rsidR="006F1DF9" w:rsidRPr="00512B6E" w:rsidRDefault="006F1DF9" w:rsidP="006F1DF9">
      <w:pPr>
        <w:ind w:left="426" w:hanging="426"/>
        <w:rPr>
          <w:rFonts w:asciiTheme="majorHAnsi" w:eastAsia="Times New Roman" w:hAnsiTheme="majorHAnsi" w:cstheme="majorHAnsi"/>
          <w:sz w:val="22"/>
          <w:szCs w:val="22"/>
          <w:lang w:val="en-GB"/>
        </w:rPr>
      </w:pPr>
    </w:p>
    <w:p w14:paraId="4485867D" w14:textId="6474A267" w:rsidR="00DB1930" w:rsidRDefault="00DB1930">
      <w:pPr>
        <w:ind w:left="426" w:hanging="426"/>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Chancel, L., Thiry, G., and Demailly, D. (2014). Beyond-GDP indicators: to what end? Lessons learnt from six national experiences. IDDRI Studies 4/2014.</w:t>
      </w:r>
    </w:p>
    <w:p w14:paraId="10B72017" w14:textId="07D2FECC" w:rsidR="006F1DF9" w:rsidRPr="00512B6E" w:rsidRDefault="006F1DF9">
      <w:pPr>
        <w:ind w:left="426" w:hanging="426"/>
        <w:rPr>
          <w:rFonts w:asciiTheme="majorHAnsi" w:hAnsiTheme="majorHAnsi" w:cstheme="majorHAnsi"/>
          <w:color w:val="000000"/>
          <w:sz w:val="22"/>
          <w:szCs w:val="22"/>
          <w:shd w:val="clear" w:color="auto" w:fill="FFFFFF"/>
        </w:rPr>
      </w:pPr>
      <w:r w:rsidRPr="00512B6E">
        <w:rPr>
          <w:rFonts w:asciiTheme="majorHAnsi" w:hAnsiTheme="majorHAnsi" w:cstheme="majorHAnsi"/>
          <w:color w:val="000000"/>
          <w:sz w:val="22"/>
          <w:szCs w:val="22"/>
          <w:shd w:val="clear" w:color="auto" w:fill="FFFFFF"/>
        </w:rPr>
        <w:t xml:space="preserve">Doyle, M. and Stiglitz, </w:t>
      </w:r>
      <w:r w:rsidR="00A425F2" w:rsidRPr="00512B6E">
        <w:rPr>
          <w:rFonts w:asciiTheme="majorHAnsi" w:hAnsiTheme="majorHAnsi" w:cstheme="majorHAnsi"/>
          <w:color w:val="000000"/>
          <w:sz w:val="22"/>
          <w:szCs w:val="22"/>
          <w:shd w:val="clear" w:color="auto" w:fill="FFFFFF"/>
        </w:rPr>
        <w:t>J. (</w:t>
      </w:r>
      <w:r w:rsidR="005675A0" w:rsidRPr="00512B6E">
        <w:rPr>
          <w:rFonts w:asciiTheme="majorHAnsi" w:hAnsiTheme="majorHAnsi" w:cstheme="majorHAnsi"/>
          <w:color w:val="000000"/>
          <w:sz w:val="22"/>
          <w:szCs w:val="22"/>
          <w:shd w:val="clear" w:color="auto" w:fill="FFFFFF"/>
        </w:rPr>
        <w:t>2014</w:t>
      </w:r>
      <w:r w:rsidR="00A425F2" w:rsidRPr="00512B6E">
        <w:rPr>
          <w:rFonts w:asciiTheme="majorHAnsi" w:hAnsiTheme="majorHAnsi" w:cstheme="majorHAnsi"/>
          <w:color w:val="000000"/>
          <w:sz w:val="22"/>
          <w:szCs w:val="22"/>
          <w:shd w:val="clear" w:color="auto" w:fill="FFFFFF"/>
        </w:rPr>
        <w:t>)</w:t>
      </w:r>
      <w:r w:rsidR="005675A0" w:rsidRPr="00512B6E">
        <w:rPr>
          <w:rFonts w:asciiTheme="majorHAnsi" w:hAnsiTheme="majorHAnsi" w:cstheme="majorHAnsi"/>
          <w:color w:val="000000"/>
          <w:sz w:val="22"/>
          <w:szCs w:val="22"/>
          <w:shd w:val="clear" w:color="auto" w:fill="FFFFFF"/>
        </w:rPr>
        <w:t xml:space="preserve"> </w:t>
      </w:r>
      <w:r w:rsidR="00A425F2" w:rsidRPr="00512B6E">
        <w:rPr>
          <w:rFonts w:asciiTheme="majorHAnsi" w:hAnsiTheme="majorHAnsi" w:cstheme="majorHAnsi"/>
          <w:color w:val="000000"/>
          <w:sz w:val="22"/>
          <w:szCs w:val="22"/>
          <w:shd w:val="clear" w:color="auto" w:fill="FFFFFF"/>
        </w:rPr>
        <w:t>‘</w:t>
      </w:r>
      <w:r w:rsidRPr="00512B6E">
        <w:rPr>
          <w:rFonts w:asciiTheme="majorHAnsi" w:hAnsiTheme="majorHAnsi" w:cstheme="majorHAnsi"/>
          <w:color w:val="000000"/>
          <w:sz w:val="22"/>
          <w:szCs w:val="22"/>
          <w:shd w:val="clear" w:color="auto" w:fill="FFFFFF"/>
        </w:rPr>
        <w:t>Eliminating Extreme Inequality: A Sustainab</w:t>
      </w:r>
      <w:r w:rsidR="00A425F2" w:rsidRPr="00512B6E">
        <w:rPr>
          <w:rFonts w:asciiTheme="majorHAnsi" w:hAnsiTheme="majorHAnsi" w:cstheme="majorHAnsi"/>
          <w:color w:val="000000"/>
          <w:sz w:val="22"/>
          <w:szCs w:val="22"/>
          <w:shd w:val="clear" w:color="auto" w:fill="FFFFFF"/>
        </w:rPr>
        <w:t>le Development Goal, 2015–2030’,</w:t>
      </w:r>
      <w:r w:rsidRPr="00512B6E">
        <w:rPr>
          <w:rStyle w:val="apple-converted-space"/>
          <w:rFonts w:asciiTheme="majorHAnsi" w:hAnsiTheme="majorHAnsi" w:cstheme="majorHAnsi"/>
          <w:color w:val="000000"/>
          <w:sz w:val="22"/>
          <w:szCs w:val="22"/>
          <w:shd w:val="clear" w:color="auto" w:fill="FFFFFF"/>
        </w:rPr>
        <w:t> </w:t>
      </w:r>
      <w:r w:rsidRPr="00512B6E">
        <w:rPr>
          <w:rStyle w:val="Accentuation"/>
          <w:rFonts w:asciiTheme="majorHAnsi" w:hAnsiTheme="majorHAnsi" w:cstheme="majorHAnsi"/>
          <w:color w:val="000000"/>
          <w:sz w:val="22"/>
          <w:szCs w:val="22"/>
          <w:shd w:val="clear" w:color="auto" w:fill="FFFFFF"/>
        </w:rPr>
        <w:t>Ethics &amp; International Affairs</w:t>
      </w:r>
      <w:r w:rsidR="00A425F2" w:rsidRPr="00512B6E">
        <w:rPr>
          <w:rStyle w:val="Accentuation"/>
          <w:rFonts w:asciiTheme="majorHAnsi" w:hAnsiTheme="majorHAnsi" w:cstheme="majorHAnsi"/>
          <w:i w:val="0"/>
          <w:iCs w:val="0"/>
          <w:color w:val="000000"/>
          <w:sz w:val="22"/>
          <w:szCs w:val="22"/>
          <w:shd w:val="clear" w:color="auto" w:fill="FFFFFF"/>
        </w:rPr>
        <w:t xml:space="preserve"> [online], </w:t>
      </w:r>
      <w:r w:rsidR="005675A0" w:rsidRPr="00512B6E">
        <w:rPr>
          <w:rFonts w:asciiTheme="majorHAnsi" w:hAnsiTheme="majorHAnsi" w:cstheme="majorHAnsi"/>
          <w:color w:val="000000"/>
          <w:sz w:val="22"/>
          <w:szCs w:val="22"/>
          <w:shd w:val="clear" w:color="auto" w:fill="FFFFFF"/>
        </w:rPr>
        <w:t>28</w:t>
      </w:r>
      <w:r w:rsidR="00A425F2" w:rsidRPr="00512B6E">
        <w:rPr>
          <w:rFonts w:asciiTheme="majorHAnsi" w:hAnsiTheme="majorHAnsi" w:cstheme="majorHAnsi"/>
          <w:color w:val="000000"/>
          <w:sz w:val="22"/>
          <w:szCs w:val="22"/>
          <w:shd w:val="clear" w:color="auto" w:fill="FFFFFF"/>
        </w:rPr>
        <w:t>(</w:t>
      </w:r>
      <w:r w:rsidR="005675A0" w:rsidRPr="00512B6E">
        <w:rPr>
          <w:rFonts w:asciiTheme="majorHAnsi" w:hAnsiTheme="majorHAnsi" w:cstheme="majorHAnsi"/>
          <w:color w:val="000000"/>
          <w:sz w:val="22"/>
          <w:szCs w:val="22"/>
          <w:shd w:val="clear" w:color="auto" w:fill="FFFFFF"/>
        </w:rPr>
        <w:t>1</w:t>
      </w:r>
      <w:r w:rsidR="00A425F2" w:rsidRPr="00512B6E">
        <w:rPr>
          <w:rFonts w:asciiTheme="majorHAnsi" w:hAnsiTheme="majorHAnsi" w:cstheme="majorHAnsi"/>
          <w:color w:val="000000"/>
          <w:sz w:val="22"/>
          <w:szCs w:val="22"/>
          <w:shd w:val="clear" w:color="auto" w:fill="FFFFFF"/>
        </w:rPr>
        <w:t>)</w:t>
      </w:r>
      <w:r w:rsidR="005675A0" w:rsidRPr="00512B6E">
        <w:rPr>
          <w:rFonts w:asciiTheme="majorHAnsi" w:hAnsiTheme="majorHAnsi" w:cstheme="majorHAnsi"/>
          <w:color w:val="000000"/>
          <w:sz w:val="22"/>
          <w:szCs w:val="22"/>
          <w:shd w:val="clear" w:color="auto" w:fill="FFFFFF"/>
        </w:rPr>
        <w:t>.</w:t>
      </w:r>
    </w:p>
    <w:p w14:paraId="7002903E" w14:textId="51034365" w:rsidR="006C2F4B" w:rsidRPr="00512B6E" w:rsidRDefault="006C2F4B">
      <w:pPr>
        <w:ind w:left="426" w:hanging="426"/>
        <w:rPr>
          <w:rFonts w:asciiTheme="majorHAnsi" w:hAnsiTheme="majorHAnsi" w:cstheme="majorHAnsi"/>
          <w:color w:val="000000" w:themeColor="text1"/>
          <w:sz w:val="22"/>
          <w:szCs w:val="22"/>
        </w:rPr>
      </w:pPr>
      <w:r w:rsidRPr="00512B6E">
        <w:rPr>
          <w:rFonts w:asciiTheme="majorHAnsi" w:hAnsiTheme="majorHAnsi" w:cstheme="majorHAnsi"/>
          <w:color w:val="000000"/>
          <w:sz w:val="22"/>
          <w:szCs w:val="22"/>
          <w:shd w:val="clear" w:color="auto" w:fill="FFFFFF"/>
        </w:rPr>
        <w:t>Lakner, Ch. and Milanovic, B. (2013) ‘World Panel Income Distribution (LM – WIPD)’</w:t>
      </w:r>
      <w:r w:rsidR="005A5A66" w:rsidRPr="00512B6E">
        <w:rPr>
          <w:rFonts w:asciiTheme="majorHAnsi" w:hAnsiTheme="majorHAnsi" w:cstheme="majorHAnsi"/>
          <w:color w:val="000000"/>
          <w:sz w:val="22"/>
          <w:szCs w:val="22"/>
          <w:shd w:val="clear" w:color="auto" w:fill="FFFFFF"/>
        </w:rPr>
        <w:t xml:space="preserve">. Washington, DC: The World Bank.  </w:t>
      </w:r>
    </w:p>
    <w:p w14:paraId="27CA6560" w14:textId="77777777" w:rsidR="00E54030" w:rsidRDefault="00E54030" w:rsidP="00E54030">
      <w:pPr>
        <w:ind w:left="426" w:hanging="426"/>
        <w:rPr>
          <w:rStyle w:val="Lienhypertexte"/>
          <w:rFonts w:asciiTheme="majorHAnsi" w:hAnsiTheme="majorHAnsi" w:cstheme="majorHAnsi"/>
          <w:color w:val="316C9D"/>
          <w:sz w:val="22"/>
          <w:szCs w:val="22"/>
          <w:bdr w:val="none" w:sz="0" w:space="0" w:color="auto" w:frame="1"/>
          <w:shd w:val="clear" w:color="auto" w:fill="FFFFFF"/>
        </w:rPr>
      </w:pPr>
      <w:r w:rsidRPr="00E54030">
        <w:rPr>
          <w:rStyle w:val="Lienhypertexte"/>
          <w:rFonts w:asciiTheme="majorHAnsi" w:hAnsiTheme="majorHAnsi" w:cstheme="majorHAnsi"/>
          <w:color w:val="316C9D"/>
          <w:sz w:val="22"/>
          <w:szCs w:val="22"/>
          <w:bdr w:val="none" w:sz="0" w:space="0" w:color="auto" w:frame="1"/>
          <w:shd w:val="clear" w:color="auto" w:fill="FFFFFF"/>
        </w:rPr>
        <w:t xml:space="preserve">McGee, R., Gaventa, J. (2010). ‘Review of Impact and Effectiveness of Transparency and Accountability Initiatives’, Institute of Development Studies. </w:t>
      </w:r>
    </w:p>
    <w:p w14:paraId="4B5ABF38" w14:textId="2939C1BE" w:rsidR="009B2F96" w:rsidRPr="00512B6E" w:rsidRDefault="009B2F96" w:rsidP="00E54030">
      <w:pPr>
        <w:ind w:left="426" w:hanging="426"/>
        <w:rPr>
          <w:rStyle w:val="Lienhypertexte"/>
          <w:rFonts w:asciiTheme="majorHAnsi" w:hAnsiTheme="majorHAnsi" w:cstheme="majorHAnsi"/>
          <w:color w:val="316C9D"/>
          <w:sz w:val="22"/>
          <w:szCs w:val="22"/>
          <w:bdr w:val="none" w:sz="0" w:space="0" w:color="auto" w:frame="1"/>
          <w:shd w:val="clear" w:color="auto" w:fill="FFFFFF"/>
        </w:rPr>
      </w:pPr>
      <w:r w:rsidRPr="00512B6E">
        <w:rPr>
          <w:rStyle w:val="Lienhypertexte"/>
          <w:rFonts w:asciiTheme="majorHAnsi" w:hAnsiTheme="majorHAnsi" w:cstheme="majorHAnsi"/>
          <w:color w:val="316C9D"/>
          <w:sz w:val="22"/>
          <w:szCs w:val="22"/>
          <w:bdr w:val="none" w:sz="0" w:space="0" w:color="auto" w:frame="1"/>
          <w:shd w:val="clear" w:color="auto" w:fill="FFFFFF"/>
        </w:rPr>
        <w:t>MADE (2015) Proposals for shadow reporting on SDG implementation. Draft outline. 09/03/2016</w:t>
      </w:r>
      <w:r w:rsidR="00552444" w:rsidRPr="00512B6E">
        <w:rPr>
          <w:rStyle w:val="Lienhypertexte"/>
          <w:rFonts w:asciiTheme="majorHAnsi" w:hAnsiTheme="majorHAnsi" w:cstheme="majorHAnsi"/>
          <w:color w:val="316C9D"/>
          <w:sz w:val="22"/>
          <w:szCs w:val="22"/>
          <w:bdr w:val="none" w:sz="0" w:space="0" w:color="auto" w:frame="1"/>
          <w:shd w:val="clear" w:color="auto" w:fill="FFFFFF"/>
        </w:rPr>
        <w:t xml:space="preserve">. </w:t>
      </w:r>
      <w:r w:rsidRPr="00512B6E">
        <w:rPr>
          <w:rStyle w:val="Lienhypertexte"/>
          <w:rFonts w:asciiTheme="majorHAnsi" w:hAnsiTheme="majorHAnsi" w:cstheme="majorHAnsi"/>
          <w:color w:val="316C9D"/>
          <w:sz w:val="22"/>
          <w:szCs w:val="22"/>
          <w:bdr w:val="none" w:sz="0" w:space="0" w:color="auto" w:frame="1"/>
          <w:shd w:val="clear" w:color="auto" w:fill="FFFFFF"/>
        </w:rPr>
        <w:t xml:space="preserve"> </w:t>
      </w:r>
    </w:p>
    <w:p w14:paraId="043BC033" w14:textId="38490D6A" w:rsidR="00B858AB" w:rsidRPr="00512B6E" w:rsidRDefault="00B858AB">
      <w:pPr>
        <w:ind w:left="426" w:hanging="426"/>
        <w:rPr>
          <w:rFonts w:asciiTheme="majorHAnsi" w:eastAsia="Times New Roman" w:hAnsiTheme="majorHAnsi" w:cstheme="majorHAnsi"/>
          <w:sz w:val="22"/>
          <w:szCs w:val="22"/>
          <w:lang w:val="en-GB"/>
        </w:rPr>
      </w:pPr>
      <w:r w:rsidRPr="00512B6E">
        <w:rPr>
          <w:rFonts w:asciiTheme="majorHAnsi" w:eastAsia="Times New Roman" w:hAnsiTheme="majorHAnsi" w:cstheme="majorHAnsi"/>
          <w:sz w:val="22"/>
          <w:szCs w:val="22"/>
          <w:lang w:val="en-GB"/>
        </w:rPr>
        <w:t>OECD (2016) How’s Your Life and What Matters Most to You? Going Beyond GDP. OECD Insights. Debate the Issues.</w:t>
      </w:r>
      <w:r w:rsidR="007046C1" w:rsidRPr="00512B6E">
        <w:rPr>
          <w:rFonts w:asciiTheme="majorHAnsi" w:eastAsia="Times New Roman" w:hAnsiTheme="majorHAnsi" w:cstheme="majorHAnsi"/>
          <w:sz w:val="22"/>
          <w:szCs w:val="22"/>
          <w:lang w:val="en-GB"/>
        </w:rPr>
        <w:t xml:space="preserve"> 2 June 2016. OECD. Paris.</w:t>
      </w:r>
      <w:r w:rsidRPr="00512B6E">
        <w:rPr>
          <w:rFonts w:asciiTheme="majorHAnsi" w:eastAsia="Times New Roman" w:hAnsiTheme="majorHAnsi" w:cstheme="majorHAnsi"/>
          <w:sz w:val="22"/>
          <w:szCs w:val="22"/>
          <w:lang w:val="en-GB"/>
        </w:rPr>
        <w:t xml:space="preserve"> </w:t>
      </w:r>
    </w:p>
    <w:p w14:paraId="12BA118E" w14:textId="5D891BF6" w:rsidR="006C2F4B" w:rsidRPr="00512B6E" w:rsidRDefault="006C2F4B" w:rsidP="00C01041">
      <w:pPr>
        <w:shd w:val="clear" w:color="auto" w:fill="FFFFFF" w:themeFill="background1"/>
        <w:rPr>
          <w:rFonts w:asciiTheme="majorHAnsi" w:eastAsia="Times New Roman" w:hAnsiTheme="majorHAnsi" w:cstheme="majorHAnsi"/>
          <w:sz w:val="22"/>
          <w:szCs w:val="22"/>
          <w:lang w:val="en-GB" w:eastAsia="fr-FR"/>
        </w:rPr>
      </w:pPr>
      <w:r w:rsidRPr="00512B6E">
        <w:rPr>
          <w:rFonts w:asciiTheme="majorHAnsi" w:eastAsia="Times New Roman" w:hAnsiTheme="majorHAnsi" w:cstheme="majorHAnsi"/>
          <w:sz w:val="22"/>
          <w:szCs w:val="22"/>
          <w:lang w:val="en-GB" w:eastAsia="fr-FR"/>
        </w:rPr>
        <w:t xml:space="preserve">Piketty, T. (2014) </w:t>
      </w:r>
      <w:r w:rsidRPr="00512B6E">
        <w:rPr>
          <w:rFonts w:asciiTheme="majorHAnsi" w:eastAsia="Times New Roman" w:hAnsiTheme="majorHAnsi" w:cstheme="majorHAnsi"/>
          <w:i/>
          <w:iCs/>
          <w:sz w:val="22"/>
          <w:szCs w:val="22"/>
          <w:lang w:val="en-GB" w:eastAsia="fr-FR"/>
        </w:rPr>
        <w:t>Capital in the XXth Century</w:t>
      </w:r>
      <w:r w:rsidRPr="00512B6E">
        <w:rPr>
          <w:rFonts w:asciiTheme="majorHAnsi" w:eastAsia="Times New Roman" w:hAnsiTheme="majorHAnsi" w:cstheme="majorHAnsi"/>
          <w:sz w:val="22"/>
          <w:szCs w:val="22"/>
          <w:lang w:val="en-GB" w:eastAsia="fr-FR"/>
        </w:rPr>
        <w:t xml:space="preserve">. Cambridge: Harvard University Press. </w:t>
      </w:r>
    </w:p>
    <w:p w14:paraId="7853B48C" w14:textId="38CC8DEE" w:rsidR="00116AB0" w:rsidRPr="00512B6E" w:rsidRDefault="00116AB0">
      <w:pPr>
        <w:ind w:left="426" w:hanging="426"/>
        <w:rPr>
          <w:rFonts w:asciiTheme="majorHAnsi" w:eastAsia="Times New Roman" w:hAnsiTheme="majorHAnsi" w:cstheme="majorHAnsi"/>
          <w:color w:val="000000"/>
          <w:sz w:val="22"/>
          <w:szCs w:val="22"/>
          <w:shd w:val="clear" w:color="auto" w:fill="FFFFFF"/>
          <w:lang w:val="en-GB"/>
        </w:rPr>
      </w:pPr>
      <w:r w:rsidRPr="00512B6E">
        <w:rPr>
          <w:rFonts w:asciiTheme="majorHAnsi" w:eastAsia="Times New Roman" w:hAnsiTheme="majorHAnsi" w:cstheme="majorHAnsi"/>
          <w:color w:val="000000"/>
          <w:sz w:val="22"/>
          <w:szCs w:val="22"/>
          <w:shd w:val="clear" w:color="auto" w:fill="FFFFFF"/>
          <w:lang w:val="en-GB"/>
        </w:rPr>
        <w:t xml:space="preserve">SDSN (2016). SDG Index &amp; Dashboards. A Global Report. July 2016. Sustainable Development Solution Network &amp; Bertelsmann Stiftung. </w:t>
      </w:r>
    </w:p>
    <w:p w14:paraId="0B9F8F77" w14:textId="66D79B4E" w:rsidR="00AE3C82" w:rsidRPr="00512B6E" w:rsidRDefault="00AE3C82">
      <w:pPr>
        <w:ind w:left="426" w:hanging="426"/>
        <w:rPr>
          <w:rFonts w:asciiTheme="majorHAnsi" w:hAnsiTheme="majorHAnsi" w:cstheme="majorHAnsi"/>
          <w:color w:val="000000"/>
          <w:sz w:val="22"/>
          <w:szCs w:val="22"/>
          <w:shd w:val="clear" w:color="auto" w:fill="FFFFFF"/>
        </w:rPr>
      </w:pPr>
      <w:r w:rsidRPr="00512B6E">
        <w:rPr>
          <w:rFonts w:asciiTheme="majorHAnsi" w:hAnsiTheme="majorHAnsi" w:cstheme="majorHAnsi"/>
          <w:color w:val="000000"/>
          <w:sz w:val="22"/>
          <w:szCs w:val="22"/>
          <w:shd w:val="clear" w:color="auto" w:fill="FFFFFF"/>
        </w:rPr>
        <w:t xml:space="preserve">Transparency International (2017). Methodological note for SDG shadow reporting questionnaire. </w:t>
      </w:r>
      <w:hyperlink r:id="rId16" w:history="1">
        <w:r w:rsidRPr="00512B6E">
          <w:rPr>
            <w:rStyle w:val="Lienhypertexte"/>
            <w:rFonts w:asciiTheme="majorHAnsi" w:hAnsiTheme="majorHAnsi" w:cstheme="majorHAnsi"/>
            <w:sz w:val="22"/>
            <w:szCs w:val="22"/>
            <w:shd w:val="clear" w:color="auto" w:fill="FFFFFF"/>
          </w:rPr>
          <w:t>https://www.transparency.org/whatwedo/publication/methodological_note_for_sdg_shadow_reporting_questionnaire</w:t>
        </w:r>
      </w:hyperlink>
      <w:r w:rsidRPr="00512B6E">
        <w:rPr>
          <w:rFonts w:asciiTheme="majorHAnsi" w:hAnsiTheme="majorHAnsi" w:cstheme="majorHAnsi"/>
          <w:color w:val="000000"/>
          <w:sz w:val="22"/>
          <w:szCs w:val="22"/>
          <w:shd w:val="clear" w:color="auto" w:fill="FFFFFF"/>
        </w:rPr>
        <w:t xml:space="preserve"> (31</w:t>
      </w:r>
      <w:r w:rsidR="00DB639C" w:rsidRPr="00512B6E">
        <w:rPr>
          <w:rFonts w:asciiTheme="majorHAnsi" w:hAnsiTheme="majorHAnsi" w:cstheme="majorHAnsi"/>
          <w:color w:val="000000"/>
          <w:sz w:val="22"/>
          <w:szCs w:val="22"/>
          <w:shd w:val="clear" w:color="auto" w:fill="FFFFFF"/>
        </w:rPr>
        <w:t>/05/</w:t>
      </w:r>
      <w:r w:rsidRPr="00512B6E">
        <w:rPr>
          <w:rFonts w:asciiTheme="majorHAnsi" w:hAnsiTheme="majorHAnsi" w:cstheme="majorHAnsi"/>
          <w:color w:val="000000"/>
          <w:sz w:val="22"/>
          <w:szCs w:val="22"/>
          <w:shd w:val="clear" w:color="auto" w:fill="FFFFFF"/>
        </w:rPr>
        <w:t>2017).</w:t>
      </w:r>
    </w:p>
    <w:p w14:paraId="208E3E86" w14:textId="31577760" w:rsidR="00572E0B" w:rsidRPr="00512B6E" w:rsidRDefault="00572E0B">
      <w:pPr>
        <w:ind w:left="426" w:hanging="426"/>
        <w:rPr>
          <w:rFonts w:asciiTheme="majorHAnsi" w:hAnsiTheme="majorHAnsi" w:cstheme="majorHAnsi"/>
          <w:color w:val="000000"/>
          <w:sz w:val="22"/>
          <w:szCs w:val="22"/>
          <w:shd w:val="clear" w:color="auto" w:fill="FFFFFF"/>
        </w:rPr>
      </w:pPr>
      <w:r w:rsidRPr="00512B6E">
        <w:rPr>
          <w:rFonts w:asciiTheme="majorHAnsi" w:hAnsiTheme="majorHAnsi" w:cstheme="majorHAnsi"/>
          <w:color w:val="000000"/>
          <w:sz w:val="22"/>
          <w:szCs w:val="22"/>
          <w:shd w:val="clear" w:color="auto" w:fill="FFFFFF"/>
        </w:rPr>
        <w:t>UN (2015). Transforming Our World: The Agenda 2030 For Sustainable Development. UN General Assembly 21 October 2015 A/RES/70/1.</w:t>
      </w:r>
    </w:p>
    <w:p w14:paraId="04119ECD" w14:textId="09F40200" w:rsidR="00DF2AE1" w:rsidRPr="00360DDD" w:rsidRDefault="00DF2AE1">
      <w:pPr>
        <w:pStyle w:val="Notedebasdepage"/>
        <w:rPr>
          <w:rFonts w:asciiTheme="majorHAnsi" w:hAnsiTheme="majorHAnsi" w:cstheme="majorHAnsi"/>
          <w:sz w:val="22"/>
          <w:szCs w:val="22"/>
        </w:rPr>
      </w:pPr>
      <w:r w:rsidRPr="00360DDD">
        <w:rPr>
          <w:rFonts w:asciiTheme="majorHAnsi" w:hAnsiTheme="majorHAnsi" w:cstheme="majorHAnsi"/>
          <w:color w:val="000000"/>
          <w:sz w:val="22"/>
          <w:szCs w:val="22"/>
          <w:shd w:val="clear" w:color="auto" w:fill="FFFFFF"/>
        </w:rPr>
        <w:t xml:space="preserve">UN (2017). </w:t>
      </w:r>
      <w:r w:rsidRPr="00360DDD">
        <w:rPr>
          <w:rFonts w:asciiTheme="majorHAnsi" w:hAnsiTheme="majorHAnsi" w:cstheme="majorHAnsi"/>
          <w:sz w:val="22"/>
          <w:szCs w:val="22"/>
        </w:rPr>
        <w:t xml:space="preserve">UN SDG Indicators Global Database, </w:t>
      </w:r>
      <w:hyperlink r:id="rId17" w:history="1">
        <w:r w:rsidRPr="00360DDD">
          <w:rPr>
            <w:rStyle w:val="Lienhypertexte"/>
            <w:rFonts w:asciiTheme="majorHAnsi" w:hAnsiTheme="majorHAnsi" w:cstheme="majorHAnsi"/>
            <w:sz w:val="22"/>
            <w:szCs w:val="22"/>
          </w:rPr>
          <w:t>https://unstats.un.org/sdgs/indicators/database/?indicator=10.1.1</w:t>
        </w:r>
      </w:hyperlink>
      <w:r w:rsidRPr="00360DDD">
        <w:rPr>
          <w:rFonts w:asciiTheme="majorHAnsi" w:hAnsiTheme="majorHAnsi" w:cstheme="majorHAnsi"/>
          <w:sz w:val="22"/>
          <w:szCs w:val="22"/>
        </w:rPr>
        <w:t xml:space="preserve"> </w:t>
      </w:r>
      <w:r w:rsidR="00DB639C" w:rsidRPr="00360DDD">
        <w:rPr>
          <w:rFonts w:asciiTheme="majorHAnsi" w:hAnsiTheme="majorHAnsi" w:cstheme="majorHAnsi"/>
          <w:color w:val="000000"/>
          <w:sz w:val="22"/>
          <w:szCs w:val="22"/>
          <w:shd w:val="clear" w:color="auto" w:fill="FFFFFF"/>
        </w:rPr>
        <w:t>(31/05/2017).</w:t>
      </w:r>
    </w:p>
    <w:p w14:paraId="7CC65478" w14:textId="0373E9C2" w:rsidR="00420F98" w:rsidRPr="00512B6E" w:rsidRDefault="00420F98">
      <w:pPr>
        <w:ind w:left="426" w:hanging="426"/>
        <w:rPr>
          <w:rFonts w:asciiTheme="majorHAnsi" w:eastAsia="Times New Roman" w:hAnsiTheme="majorHAnsi" w:cstheme="majorHAnsi"/>
          <w:sz w:val="22"/>
          <w:szCs w:val="22"/>
        </w:rPr>
      </w:pPr>
      <w:r w:rsidRPr="00512B6E">
        <w:rPr>
          <w:rFonts w:asciiTheme="majorHAnsi" w:eastAsia="Times New Roman" w:hAnsiTheme="majorHAnsi" w:cstheme="majorHAnsi"/>
          <w:sz w:val="22"/>
          <w:szCs w:val="22"/>
        </w:rPr>
        <w:t xml:space="preserve">WID.world, 2017, </w:t>
      </w:r>
      <w:r w:rsidR="00250848" w:rsidRPr="00512B6E">
        <w:rPr>
          <w:rFonts w:asciiTheme="majorHAnsi" w:eastAsia="Times New Roman" w:hAnsiTheme="majorHAnsi" w:cstheme="majorHAnsi"/>
          <w:sz w:val="22"/>
          <w:szCs w:val="22"/>
        </w:rPr>
        <w:t>World Wealth and Income Database [www.wid.world]</w:t>
      </w:r>
      <w:r w:rsidR="00DB639C" w:rsidRPr="00512B6E">
        <w:rPr>
          <w:rFonts w:asciiTheme="majorHAnsi" w:eastAsia="Times New Roman" w:hAnsiTheme="majorHAnsi" w:cstheme="majorHAnsi"/>
          <w:sz w:val="22"/>
          <w:szCs w:val="22"/>
        </w:rPr>
        <w:t xml:space="preserve"> (</w:t>
      </w:r>
      <w:r w:rsidR="00250848" w:rsidRPr="00512B6E">
        <w:rPr>
          <w:rFonts w:asciiTheme="majorHAnsi" w:eastAsia="Times New Roman" w:hAnsiTheme="majorHAnsi" w:cstheme="majorHAnsi"/>
          <w:sz w:val="22"/>
          <w:szCs w:val="22"/>
        </w:rPr>
        <w:t>28/05/1</w:t>
      </w:r>
      <w:r w:rsidR="00DB639C" w:rsidRPr="00512B6E">
        <w:rPr>
          <w:rFonts w:asciiTheme="majorHAnsi" w:eastAsia="Times New Roman" w:hAnsiTheme="majorHAnsi" w:cstheme="majorHAnsi"/>
          <w:sz w:val="22"/>
          <w:szCs w:val="22"/>
        </w:rPr>
        <w:t>7)</w:t>
      </w:r>
    </w:p>
    <w:p w14:paraId="6013C18A" w14:textId="77777777" w:rsidR="000719F8" w:rsidRPr="00512B6E" w:rsidRDefault="000719F8" w:rsidP="00FF07AA">
      <w:pPr>
        <w:autoSpaceDE w:val="0"/>
        <w:autoSpaceDN w:val="0"/>
        <w:adjustRightInd w:val="0"/>
        <w:rPr>
          <w:rFonts w:asciiTheme="majorHAnsi" w:hAnsiTheme="majorHAnsi" w:cstheme="majorHAnsi"/>
          <w:sz w:val="22"/>
          <w:szCs w:val="22"/>
        </w:rPr>
      </w:pPr>
    </w:p>
    <w:p w14:paraId="75300D34" w14:textId="77777777" w:rsidR="000719F8" w:rsidRPr="00512B6E" w:rsidRDefault="000719F8" w:rsidP="00FF07AA">
      <w:pPr>
        <w:autoSpaceDE w:val="0"/>
        <w:autoSpaceDN w:val="0"/>
        <w:adjustRightInd w:val="0"/>
        <w:rPr>
          <w:rFonts w:asciiTheme="majorHAnsi" w:hAnsiTheme="majorHAnsi" w:cstheme="majorHAnsi"/>
          <w:sz w:val="22"/>
          <w:szCs w:val="22"/>
        </w:rPr>
      </w:pPr>
    </w:p>
    <w:p w14:paraId="51A366DE" w14:textId="276E6346" w:rsidR="000719F8" w:rsidRPr="00512B6E" w:rsidRDefault="000719F8" w:rsidP="00823540">
      <w:pPr>
        <w:rPr>
          <w:rFonts w:asciiTheme="majorHAnsi" w:hAnsiTheme="majorHAnsi" w:cstheme="majorHAnsi"/>
          <w:b/>
          <w:sz w:val="22"/>
          <w:szCs w:val="22"/>
        </w:rPr>
        <w:sectPr w:rsidR="000719F8" w:rsidRPr="00512B6E" w:rsidSect="00B760B6">
          <w:pgSz w:w="11900" w:h="16840"/>
          <w:pgMar w:top="1440" w:right="1800" w:bottom="1440" w:left="1800" w:header="708" w:footer="708" w:gutter="0"/>
          <w:cols w:space="708"/>
          <w:docGrid w:linePitch="360"/>
        </w:sectPr>
      </w:pPr>
    </w:p>
    <w:p w14:paraId="03B13FED" w14:textId="05A91D10" w:rsidR="00D40E93" w:rsidRPr="00512B6E" w:rsidRDefault="00D40E93" w:rsidP="00D40E93">
      <w:pPr>
        <w:shd w:val="clear" w:color="auto" w:fill="FFFFFF" w:themeFill="background1"/>
        <w:jc w:val="both"/>
        <w:rPr>
          <w:rFonts w:asciiTheme="majorHAnsi" w:eastAsia="Arial" w:hAnsiTheme="majorHAnsi" w:cstheme="majorHAnsi"/>
          <w:color w:val="222222"/>
          <w:sz w:val="22"/>
          <w:szCs w:val="22"/>
        </w:rPr>
      </w:pPr>
    </w:p>
    <w:p w14:paraId="41EE2789" w14:textId="690D7DD7" w:rsidR="00D40E93" w:rsidRPr="00512B6E" w:rsidRDefault="00D40E93" w:rsidP="00D40E93">
      <w:pPr>
        <w:rPr>
          <w:rFonts w:asciiTheme="majorHAnsi" w:eastAsia="Arial" w:hAnsiTheme="majorHAnsi" w:cstheme="majorHAnsi"/>
          <w:color w:val="222222"/>
          <w:sz w:val="22"/>
          <w:szCs w:val="22"/>
        </w:rPr>
      </w:pPr>
    </w:p>
    <w:p w14:paraId="686F94B3" w14:textId="49370059" w:rsidR="00D40E93" w:rsidRPr="00512B6E" w:rsidRDefault="00C472A0" w:rsidP="00D40E93">
      <w:pPr>
        <w:shd w:val="clear" w:color="auto" w:fill="FFFFFF"/>
        <w:jc w:val="center"/>
        <w:rPr>
          <w:rFonts w:asciiTheme="majorHAnsi" w:hAnsiTheme="majorHAnsi" w:cstheme="majorHAnsi"/>
          <w:b/>
          <w:color w:val="222222"/>
          <w:sz w:val="22"/>
          <w:szCs w:val="22"/>
        </w:rPr>
      </w:pPr>
      <w:r w:rsidRPr="00512B6E">
        <w:rPr>
          <w:rFonts w:asciiTheme="majorHAnsi" w:hAnsiTheme="majorHAnsi" w:cstheme="majorHAnsi"/>
          <w:b/>
          <w:color w:val="222222"/>
          <w:sz w:val="22"/>
          <w:szCs w:val="22"/>
        </w:rPr>
        <w:t>Table 1</w:t>
      </w:r>
      <w:r w:rsidR="00D40E93" w:rsidRPr="00512B6E">
        <w:rPr>
          <w:rFonts w:asciiTheme="majorHAnsi" w:hAnsiTheme="majorHAnsi" w:cstheme="majorHAnsi"/>
          <w:b/>
          <w:color w:val="222222"/>
          <w:sz w:val="22"/>
          <w:szCs w:val="22"/>
        </w:rPr>
        <w:t>: Growth and inequality in China, France, USA</w:t>
      </w:r>
    </w:p>
    <w:p w14:paraId="1BA88061" w14:textId="77777777" w:rsidR="00D40E93" w:rsidRPr="00512B6E" w:rsidRDefault="00D40E93" w:rsidP="00D40E93">
      <w:pPr>
        <w:shd w:val="clear" w:color="auto" w:fill="FFFFFF"/>
        <w:jc w:val="center"/>
        <w:rPr>
          <w:rFonts w:asciiTheme="majorHAnsi" w:hAnsiTheme="majorHAnsi" w:cstheme="majorHAnsi"/>
          <w:color w:val="222222"/>
          <w:sz w:val="22"/>
          <w:szCs w:val="22"/>
        </w:rPr>
      </w:pPr>
    </w:p>
    <w:p w14:paraId="2A51CB8D" w14:textId="77777777" w:rsidR="00D40E93" w:rsidRPr="00512B6E" w:rsidRDefault="00D40E93" w:rsidP="00D40E93">
      <w:pPr>
        <w:shd w:val="clear" w:color="auto" w:fill="FFFFFF"/>
        <w:jc w:val="center"/>
        <w:rPr>
          <w:rFonts w:asciiTheme="majorHAnsi" w:hAnsiTheme="majorHAnsi" w:cstheme="majorHAnsi"/>
          <w:color w:val="222222"/>
          <w:sz w:val="22"/>
          <w:szCs w:val="22"/>
        </w:rPr>
      </w:pPr>
      <w:r w:rsidRPr="00512B6E">
        <w:rPr>
          <w:rFonts w:asciiTheme="majorHAnsi" w:hAnsiTheme="majorHAnsi" w:cstheme="majorHAnsi"/>
          <w:noProof/>
          <w:color w:val="222222"/>
          <w:sz w:val="22"/>
          <w:szCs w:val="22"/>
          <w:lang w:val="fr-FR" w:eastAsia="fr-FR"/>
        </w:rPr>
        <w:drawing>
          <wp:inline distT="0" distB="0" distL="0" distR="0" wp14:anchorId="4631FF2E" wp14:editId="07176F31">
            <wp:extent cx="5613400" cy="1549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3400" cy="1549400"/>
                    </a:xfrm>
                    <a:prstGeom prst="rect">
                      <a:avLst/>
                    </a:prstGeom>
                  </pic:spPr>
                </pic:pic>
              </a:graphicData>
            </a:graphic>
          </wp:inline>
        </w:drawing>
      </w:r>
    </w:p>
    <w:p w14:paraId="1EFAB08C" w14:textId="77777777" w:rsidR="00D40E93" w:rsidRPr="00512B6E" w:rsidRDefault="00D40E93" w:rsidP="00D40E93">
      <w:pPr>
        <w:shd w:val="clear" w:color="auto" w:fill="FFFFFF"/>
        <w:rPr>
          <w:rFonts w:asciiTheme="majorHAnsi" w:hAnsiTheme="majorHAnsi" w:cstheme="majorHAnsi"/>
          <w:color w:val="222222"/>
          <w:sz w:val="22"/>
          <w:szCs w:val="22"/>
        </w:rPr>
      </w:pPr>
    </w:p>
    <w:p w14:paraId="4842C4B3" w14:textId="38D799CD" w:rsidR="00D40E93" w:rsidRPr="00512B6E" w:rsidRDefault="00D40E93" w:rsidP="00512B6E">
      <w:pPr>
        <w:rPr>
          <w:rFonts w:asciiTheme="majorHAnsi" w:hAnsiTheme="majorHAnsi" w:cstheme="majorHAnsi"/>
          <w:color w:val="222222"/>
          <w:sz w:val="22"/>
          <w:szCs w:val="22"/>
        </w:rPr>
      </w:pPr>
      <w:r w:rsidRPr="00512B6E">
        <w:rPr>
          <w:rFonts w:asciiTheme="majorHAnsi" w:hAnsiTheme="majorHAnsi" w:cstheme="majorHAnsi"/>
          <w:color w:val="222222"/>
          <w:sz w:val="22"/>
          <w:szCs w:val="22"/>
        </w:rPr>
        <w:t>Data source: WID.world (2017). Note: growth in pre-tax per adult income. Authors’ computations. Key: Average per adult income of the bottom 40% group increased by 332% in China over the 1980-2015 period. Average per adult growth rate was 776% over the period. Al</w:t>
      </w:r>
      <w:r w:rsidR="00512B6E" w:rsidRPr="00512B6E">
        <w:rPr>
          <w:rFonts w:asciiTheme="majorHAnsi" w:hAnsiTheme="majorHAnsi" w:cstheme="majorHAnsi"/>
          <w:color w:val="222222"/>
          <w:sz w:val="22"/>
          <w:szCs w:val="22"/>
        </w:rPr>
        <w:t>l figures are net of inflation.</w:t>
      </w:r>
    </w:p>
    <w:p w14:paraId="423417F4" w14:textId="6387B43F" w:rsidR="00512B6E" w:rsidRPr="00512B6E" w:rsidRDefault="00512B6E" w:rsidP="00512B6E">
      <w:pPr>
        <w:rPr>
          <w:rFonts w:asciiTheme="majorHAnsi" w:hAnsiTheme="majorHAnsi" w:cstheme="majorHAnsi"/>
          <w:color w:val="222222"/>
          <w:sz w:val="22"/>
          <w:szCs w:val="22"/>
        </w:rPr>
      </w:pPr>
    </w:p>
    <w:p w14:paraId="681AAF19" w14:textId="62BC4698" w:rsidR="00512B6E" w:rsidRPr="00512B6E" w:rsidRDefault="00512B6E" w:rsidP="00512B6E">
      <w:pPr>
        <w:rPr>
          <w:rFonts w:asciiTheme="majorHAnsi" w:hAnsiTheme="majorHAnsi" w:cstheme="majorHAnsi"/>
          <w:color w:val="222222"/>
          <w:sz w:val="22"/>
          <w:szCs w:val="22"/>
        </w:rPr>
      </w:pPr>
    </w:p>
    <w:p w14:paraId="171ADEC2" w14:textId="77777777" w:rsidR="00D40E93" w:rsidRPr="00512B6E" w:rsidRDefault="00D40E93" w:rsidP="00D40E93">
      <w:pPr>
        <w:rPr>
          <w:rFonts w:asciiTheme="majorHAnsi" w:hAnsiTheme="majorHAnsi" w:cstheme="majorHAnsi"/>
          <w:sz w:val="22"/>
          <w:szCs w:val="22"/>
        </w:rPr>
      </w:pPr>
    </w:p>
    <w:p w14:paraId="7CE083B4" w14:textId="62BEE1E4" w:rsidR="00D40E93" w:rsidRPr="00512B6E" w:rsidRDefault="00512B6E" w:rsidP="00D40E93">
      <w:pPr>
        <w:jc w:val="center"/>
        <w:rPr>
          <w:rFonts w:asciiTheme="majorHAnsi" w:hAnsiTheme="majorHAnsi" w:cstheme="majorHAnsi"/>
          <w:b/>
          <w:sz w:val="22"/>
          <w:szCs w:val="22"/>
        </w:rPr>
      </w:pPr>
      <w:r w:rsidRPr="00512B6E">
        <w:rPr>
          <w:rFonts w:asciiTheme="majorHAnsi" w:hAnsiTheme="majorHAnsi" w:cstheme="majorHAnsi"/>
          <w:b/>
          <w:sz w:val="22"/>
          <w:szCs w:val="22"/>
        </w:rPr>
        <w:t>Table 2</w:t>
      </w:r>
      <w:r w:rsidR="00D40E93" w:rsidRPr="00512B6E">
        <w:rPr>
          <w:rFonts w:asciiTheme="majorHAnsi" w:hAnsiTheme="majorHAnsi" w:cstheme="majorHAnsi"/>
          <w:b/>
          <w:sz w:val="22"/>
          <w:szCs w:val="22"/>
        </w:rPr>
        <w:t>: Ranking countries along target 10.1 year-on-year values</w:t>
      </w:r>
    </w:p>
    <w:p w14:paraId="4C297851" w14:textId="77777777" w:rsidR="00D40E93" w:rsidRPr="00512B6E" w:rsidRDefault="00D40E93" w:rsidP="00D40E93">
      <w:pPr>
        <w:rPr>
          <w:rFonts w:asciiTheme="majorHAnsi" w:hAnsiTheme="majorHAnsi" w:cstheme="majorHAnsi"/>
          <w:color w:val="222222"/>
          <w:sz w:val="22"/>
          <w:szCs w:val="22"/>
        </w:rPr>
      </w:pPr>
    </w:p>
    <w:p w14:paraId="6DF992DD" w14:textId="77777777" w:rsidR="00D40E93" w:rsidRPr="00512B6E" w:rsidRDefault="00D40E93" w:rsidP="00D40E93">
      <w:pPr>
        <w:rPr>
          <w:rFonts w:asciiTheme="majorHAnsi" w:hAnsiTheme="majorHAnsi" w:cstheme="majorHAnsi"/>
          <w:color w:val="222222"/>
          <w:sz w:val="22"/>
          <w:szCs w:val="22"/>
        </w:rPr>
      </w:pPr>
      <w:r w:rsidRPr="00512B6E">
        <w:rPr>
          <w:rFonts w:asciiTheme="majorHAnsi" w:hAnsiTheme="majorHAnsi" w:cstheme="majorHAnsi"/>
          <w:noProof/>
          <w:color w:val="222222"/>
          <w:sz w:val="22"/>
          <w:szCs w:val="22"/>
          <w:lang w:val="fr-FR" w:eastAsia="fr-FR"/>
        </w:rPr>
        <w:drawing>
          <wp:inline distT="0" distB="0" distL="0" distR="0" wp14:anchorId="19505043" wp14:editId="3923CAF8">
            <wp:extent cx="5759450" cy="20605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2060575"/>
                    </a:xfrm>
                    <a:prstGeom prst="rect">
                      <a:avLst/>
                    </a:prstGeom>
                  </pic:spPr>
                </pic:pic>
              </a:graphicData>
            </a:graphic>
          </wp:inline>
        </w:drawing>
      </w:r>
    </w:p>
    <w:p w14:paraId="1A842784" w14:textId="77777777" w:rsidR="00D40E93" w:rsidRPr="00512B6E" w:rsidRDefault="00D40E93" w:rsidP="00D40E93">
      <w:pPr>
        <w:rPr>
          <w:rFonts w:asciiTheme="majorHAnsi" w:hAnsiTheme="majorHAnsi" w:cstheme="majorHAnsi"/>
          <w:color w:val="222222"/>
          <w:sz w:val="22"/>
          <w:szCs w:val="22"/>
        </w:rPr>
      </w:pPr>
    </w:p>
    <w:p w14:paraId="5AECB6E9" w14:textId="77777777" w:rsidR="00D40E93" w:rsidRPr="00512B6E" w:rsidRDefault="00D40E93" w:rsidP="00D40E93">
      <w:pPr>
        <w:rPr>
          <w:rFonts w:asciiTheme="majorHAnsi" w:hAnsiTheme="majorHAnsi" w:cstheme="majorHAnsi"/>
          <w:sz w:val="22"/>
          <w:szCs w:val="22"/>
        </w:rPr>
      </w:pPr>
      <w:r w:rsidRPr="00512B6E">
        <w:rPr>
          <w:rFonts w:asciiTheme="majorHAnsi" w:hAnsiTheme="majorHAnsi" w:cstheme="majorHAnsi"/>
          <w:color w:val="222222"/>
          <w:sz w:val="22"/>
          <w:szCs w:val="22"/>
        </w:rPr>
        <w:t xml:space="preserve">Data source: WID.world (2017). Income growth rates correspond to real per adult pre-tax national income. Figures corrected for inflation. Authors computations. </w:t>
      </w:r>
    </w:p>
    <w:p w14:paraId="101F2C01" w14:textId="3A27613E" w:rsidR="00C97DE5" w:rsidRPr="00512B6E" w:rsidRDefault="00C97DE5" w:rsidP="00644DFF">
      <w:pPr>
        <w:rPr>
          <w:rFonts w:asciiTheme="majorHAnsi" w:hAnsiTheme="majorHAnsi" w:cstheme="majorHAnsi"/>
          <w:sz w:val="22"/>
          <w:szCs w:val="22"/>
        </w:rPr>
      </w:pPr>
    </w:p>
    <w:p w14:paraId="13CA55AD" w14:textId="544592A2" w:rsidR="008530E1" w:rsidRPr="00512B6E" w:rsidRDefault="008530E1" w:rsidP="00644DFF">
      <w:pPr>
        <w:rPr>
          <w:rFonts w:asciiTheme="majorHAnsi" w:hAnsiTheme="majorHAnsi" w:cstheme="majorHAnsi"/>
          <w:sz w:val="22"/>
          <w:szCs w:val="22"/>
        </w:rPr>
      </w:pPr>
    </w:p>
    <w:p w14:paraId="0C1720F4" w14:textId="77777777" w:rsidR="008530E1" w:rsidRPr="00512B6E" w:rsidRDefault="008530E1" w:rsidP="00644DFF">
      <w:pPr>
        <w:rPr>
          <w:rFonts w:asciiTheme="majorHAnsi" w:hAnsiTheme="majorHAnsi" w:cstheme="majorHAnsi"/>
          <w:sz w:val="22"/>
          <w:szCs w:val="22"/>
        </w:rPr>
      </w:pPr>
    </w:p>
    <w:sectPr w:rsidR="008530E1" w:rsidRPr="00512B6E" w:rsidSect="00C010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FFE7" w14:textId="77777777" w:rsidR="00302416" w:rsidRDefault="00302416" w:rsidP="00C57F41">
      <w:r>
        <w:separator/>
      </w:r>
    </w:p>
  </w:endnote>
  <w:endnote w:type="continuationSeparator" w:id="0">
    <w:p w14:paraId="51C732CD" w14:textId="77777777" w:rsidR="00302416" w:rsidRDefault="00302416" w:rsidP="00C57F41">
      <w:r>
        <w:continuationSeparator/>
      </w:r>
    </w:p>
  </w:endnote>
  <w:endnote w:type="continuationNotice" w:id="1">
    <w:p w14:paraId="0708624C" w14:textId="77777777" w:rsidR="00302416" w:rsidRDefault="00302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harterITC">
    <w:altName w:val="Calibri"/>
    <w:panose1 w:val="00000000000000000000"/>
    <w:charset w:val="00"/>
    <w:family w:val="roman"/>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8B4CC" w14:textId="77777777" w:rsidR="00302416" w:rsidRDefault="00302416" w:rsidP="00C57F41">
      <w:r>
        <w:separator/>
      </w:r>
    </w:p>
  </w:footnote>
  <w:footnote w:type="continuationSeparator" w:id="0">
    <w:p w14:paraId="0DF7D993" w14:textId="77777777" w:rsidR="00302416" w:rsidRDefault="00302416" w:rsidP="00C57F41">
      <w:r>
        <w:continuationSeparator/>
      </w:r>
    </w:p>
  </w:footnote>
  <w:footnote w:type="continuationNotice" w:id="1">
    <w:p w14:paraId="780B5E59" w14:textId="77777777" w:rsidR="00302416" w:rsidRDefault="0030241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4CB"/>
    <w:multiLevelType w:val="hybridMultilevel"/>
    <w:tmpl w:val="6DF6DDD6"/>
    <w:lvl w:ilvl="0" w:tplc="1C4E50A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448"/>
    <w:multiLevelType w:val="hybridMultilevel"/>
    <w:tmpl w:val="8B7C9D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3E52FB"/>
    <w:multiLevelType w:val="hybridMultilevel"/>
    <w:tmpl w:val="29DAE49C"/>
    <w:lvl w:ilvl="0" w:tplc="996421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4B6CC7"/>
    <w:multiLevelType w:val="multilevel"/>
    <w:tmpl w:val="9D1E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936C9"/>
    <w:multiLevelType w:val="hybridMultilevel"/>
    <w:tmpl w:val="E6FE533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581A80"/>
    <w:multiLevelType w:val="hybridMultilevel"/>
    <w:tmpl w:val="472CB81A"/>
    <w:lvl w:ilvl="0" w:tplc="C1347F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9364F"/>
    <w:multiLevelType w:val="hybridMultilevel"/>
    <w:tmpl w:val="ED464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6638F"/>
    <w:multiLevelType w:val="hybridMultilevel"/>
    <w:tmpl w:val="1184337E"/>
    <w:lvl w:ilvl="0" w:tplc="F36C21A4">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092173"/>
    <w:multiLevelType w:val="hybridMultilevel"/>
    <w:tmpl w:val="72280BC2"/>
    <w:lvl w:ilvl="0" w:tplc="00A87EA2">
      <w:start w:val="2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35F2A"/>
    <w:multiLevelType w:val="hybridMultilevel"/>
    <w:tmpl w:val="4E14D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46148"/>
    <w:multiLevelType w:val="hybridMultilevel"/>
    <w:tmpl w:val="1B2E1380"/>
    <w:lvl w:ilvl="0" w:tplc="1406B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B4E32"/>
    <w:multiLevelType w:val="hybridMultilevel"/>
    <w:tmpl w:val="2C4CE324"/>
    <w:lvl w:ilvl="0" w:tplc="4EFC698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80BBE"/>
    <w:multiLevelType w:val="hybridMultilevel"/>
    <w:tmpl w:val="D250CA24"/>
    <w:lvl w:ilvl="0" w:tplc="18749034">
      <w:start w:val="1"/>
      <w:numFmt w:val="decimal"/>
      <w:lvlText w:val="%1)"/>
      <w:lvlJc w:val="left"/>
      <w:pPr>
        <w:ind w:left="720" w:hanging="360"/>
      </w:pPr>
      <w:rPr>
        <w:rFonts w:hint="default"/>
        <w:b/>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D67C0"/>
    <w:multiLevelType w:val="hybridMultilevel"/>
    <w:tmpl w:val="128840C0"/>
    <w:lvl w:ilvl="0" w:tplc="E18EBCD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37E64"/>
    <w:multiLevelType w:val="hybridMultilevel"/>
    <w:tmpl w:val="CCD225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E93263"/>
    <w:multiLevelType w:val="multilevel"/>
    <w:tmpl w:val="6F4C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F05AE"/>
    <w:multiLevelType w:val="hybridMultilevel"/>
    <w:tmpl w:val="02525424"/>
    <w:lvl w:ilvl="0" w:tplc="15FCCA5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D53232"/>
    <w:multiLevelType w:val="hybridMultilevel"/>
    <w:tmpl w:val="B456C2F4"/>
    <w:lvl w:ilvl="0" w:tplc="8B6AFC76">
      <w:start w:val="1"/>
      <w:numFmt w:val="bullet"/>
      <w:lvlText w:val=""/>
      <w:lvlJc w:val="left"/>
      <w:pPr>
        <w:ind w:left="720" w:hanging="360"/>
      </w:pPr>
      <w:rPr>
        <w:rFonts w:ascii="Symbol" w:hAnsi="Symbol" w:hint="default"/>
      </w:rPr>
    </w:lvl>
    <w:lvl w:ilvl="1" w:tplc="032E412C">
      <w:start w:val="1"/>
      <w:numFmt w:val="bullet"/>
      <w:lvlText w:val="o"/>
      <w:lvlJc w:val="left"/>
      <w:pPr>
        <w:ind w:left="1440" w:hanging="360"/>
      </w:pPr>
      <w:rPr>
        <w:rFonts w:ascii="Courier New" w:hAnsi="Courier New" w:hint="default"/>
      </w:rPr>
    </w:lvl>
    <w:lvl w:ilvl="2" w:tplc="9C2EFCA2">
      <w:start w:val="1"/>
      <w:numFmt w:val="bullet"/>
      <w:lvlText w:val=""/>
      <w:lvlJc w:val="left"/>
      <w:pPr>
        <w:ind w:left="2160" w:hanging="360"/>
      </w:pPr>
      <w:rPr>
        <w:rFonts w:ascii="Wingdings" w:hAnsi="Wingdings" w:hint="default"/>
      </w:rPr>
    </w:lvl>
    <w:lvl w:ilvl="3" w:tplc="75B07E6C">
      <w:start w:val="1"/>
      <w:numFmt w:val="bullet"/>
      <w:lvlText w:val=""/>
      <w:lvlJc w:val="left"/>
      <w:pPr>
        <w:ind w:left="2880" w:hanging="360"/>
      </w:pPr>
      <w:rPr>
        <w:rFonts w:ascii="Symbol" w:hAnsi="Symbol" w:hint="default"/>
      </w:rPr>
    </w:lvl>
    <w:lvl w:ilvl="4" w:tplc="8BF239BA">
      <w:start w:val="1"/>
      <w:numFmt w:val="bullet"/>
      <w:lvlText w:val="o"/>
      <w:lvlJc w:val="left"/>
      <w:pPr>
        <w:ind w:left="3600" w:hanging="360"/>
      </w:pPr>
      <w:rPr>
        <w:rFonts w:ascii="Courier New" w:hAnsi="Courier New" w:hint="default"/>
      </w:rPr>
    </w:lvl>
    <w:lvl w:ilvl="5" w:tplc="FA8A1F16">
      <w:start w:val="1"/>
      <w:numFmt w:val="bullet"/>
      <w:lvlText w:val=""/>
      <w:lvlJc w:val="left"/>
      <w:pPr>
        <w:ind w:left="4320" w:hanging="360"/>
      </w:pPr>
      <w:rPr>
        <w:rFonts w:ascii="Wingdings" w:hAnsi="Wingdings" w:hint="default"/>
      </w:rPr>
    </w:lvl>
    <w:lvl w:ilvl="6" w:tplc="0E6C9884">
      <w:start w:val="1"/>
      <w:numFmt w:val="bullet"/>
      <w:lvlText w:val=""/>
      <w:lvlJc w:val="left"/>
      <w:pPr>
        <w:ind w:left="5040" w:hanging="360"/>
      </w:pPr>
      <w:rPr>
        <w:rFonts w:ascii="Symbol" w:hAnsi="Symbol" w:hint="default"/>
      </w:rPr>
    </w:lvl>
    <w:lvl w:ilvl="7" w:tplc="970C275E">
      <w:start w:val="1"/>
      <w:numFmt w:val="bullet"/>
      <w:lvlText w:val="o"/>
      <w:lvlJc w:val="left"/>
      <w:pPr>
        <w:ind w:left="5760" w:hanging="360"/>
      </w:pPr>
      <w:rPr>
        <w:rFonts w:ascii="Courier New" w:hAnsi="Courier New" w:hint="default"/>
      </w:rPr>
    </w:lvl>
    <w:lvl w:ilvl="8" w:tplc="C18A465A">
      <w:start w:val="1"/>
      <w:numFmt w:val="bullet"/>
      <w:lvlText w:val=""/>
      <w:lvlJc w:val="left"/>
      <w:pPr>
        <w:ind w:left="6480" w:hanging="360"/>
      </w:pPr>
      <w:rPr>
        <w:rFonts w:ascii="Wingdings" w:hAnsi="Wingdings" w:hint="default"/>
      </w:rPr>
    </w:lvl>
  </w:abstractNum>
  <w:abstractNum w:abstractNumId="18" w15:restartNumberingAfterBreak="0">
    <w:nsid w:val="3F7111C0"/>
    <w:multiLevelType w:val="hybridMultilevel"/>
    <w:tmpl w:val="CF2C8A9A"/>
    <w:lvl w:ilvl="0" w:tplc="99BC5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22ECA"/>
    <w:multiLevelType w:val="multilevel"/>
    <w:tmpl w:val="8FF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276F9"/>
    <w:multiLevelType w:val="hybridMultilevel"/>
    <w:tmpl w:val="69E2702C"/>
    <w:lvl w:ilvl="0" w:tplc="E7E4C670">
      <w:start w:val="1"/>
      <w:numFmt w:val="lowerRoman"/>
      <w:lvlText w:val="%1."/>
      <w:lvlJc w:val="left"/>
      <w:pPr>
        <w:ind w:left="5380" w:hanging="720"/>
      </w:pPr>
      <w:rPr>
        <w:rFonts w:hint="default"/>
      </w:rPr>
    </w:lvl>
    <w:lvl w:ilvl="1" w:tplc="04090019" w:tentative="1">
      <w:start w:val="1"/>
      <w:numFmt w:val="lowerLetter"/>
      <w:lvlText w:val="%2."/>
      <w:lvlJc w:val="left"/>
      <w:pPr>
        <w:ind w:left="5740" w:hanging="360"/>
      </w:pPr>
    </w:lvl>
    <w:lvl w:ilvl="2" w:tplc="0409001B" w:tentative="1">
      <w:start w:val="1"/>
      <w:numFmt w:val="lowerRoman"/>
      <w:lvlText w:val="%3."/>
      <w:lvlJc w:val="right"/>
      <w:pPr>
        <w:ind w:left="6460" w:hanging="180"/>
      </w:pPr>
    </w:lvl>
    <w:lvl w:ilvl="3" w:tplc="0409000F" w:tentative="1">
      <w:start w:val="1"/>
      <w:numFmt w:val="decimal"/>
      <w:lvlText w:val="%4."/>
      <w:lvlJc w:val="left"/>
      <w:pPr>
        <w:ind w:left="7180" w:hanging="360"/>
      </w:pPr>
    </w:lvl>
    <w:lvl w:ilvl="4" w:tplc="04090019" w:tentative="1">
      <w:start w:val="1"/>
      <w:numFmt w:val="lowerLetter"/>
      <w:lvlText w:val="%5."/>
      <w:lvlJc w:val="left"/>
      <w:pPr>
        <w:ind w:left="7900" w:hanging="360"/>
      </w:pPr>
    </w:lvl>
    <w:lvl w:ilvl="5" w:tplc="0409001B" w:tentative="1">
      <w:start w:val="1"/>
      <w:numFmt w:val="lowerRoman"/>
      <w:lvlText w:val="%6."/>
      <w:lvlJc w:val="right"/>
      <w:pPr>
        <w:ind w:left="8620" w:hanging="180"/>
      </w:pPr>
    </w:lvl>
    <w:lvl w:ilvl="6" w:tplc="0409000F" w:tentative="1">
      <w:start w:val="1"/>
      <w:numFmt w:val="decimal"/>
      <w:lvlText w:val="%7."/>
      <w:lvlJc w:val="left"/>
      <w:pPr>
        <w:ind w:left="9340" w:hanging="360"/>
      </w:pPr>
    </w:lvl>
    <w:lvl w:ilvl="7" w:tplc="04090019" w:tentative="1">
      <w:start w:val="1"/>
      <w:numFmt w:val="lowerLetter"/>
      <w:lvlText w:val="%8."/>
      <w:lvlJc w:val="left"/>
      <w:pPr>
        <w:ind w:left="10060" w:hanging="360"/>
      </w:pPr>
    </w:lvl>
    <w:lvl w:ilvl="8" w:tplc="0409001B" w:tentative="1">
      <w:start w:val="1"/>
      <w:numFmt w:val="lowerRoman"/>
      <w:lvlText w:val="%9."/>
      <w:lvlJc w:val="right"/>
      <w:pPr>
        <w:ind w:left="10780" w:hanging="180"/>
      </w:pPr>
    </w:lvl>
  </w:abstractNum>
  <w:abstractNum w:abstractNumId="21" w15:restartNumberingAfterBreak="0">
    <w:nsid w:val="4786319C"/>
    <w:multiLevelType w:val="hybridMultilevel"/>
    <w:tmpl w:val="977019B6"/>
    <w:lvl w:ilvl="0" w:tplc="318E98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E74BD1"/>
    <w:multiLevelType w:val="hybridMultilevel"/>
    <w:tmpl w:val="504E39FC"/>
    <w:lvl w:ilvl="0" w:tplc="DFC67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92378"/>
    <w:multiLevelType w:val="hybridMultilevel"/>
    <w:tmpl w:val="1DD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D0635"/>
    <w:multiLevelType w:val="hybridMultilevel"/>
    <w:tmpl w:val="7D3015F2"/>
    <w:lvl w:ilvl="0" w:tplc="1AEC4A02">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6E28ED"/>
    <w:multiLevelType w:val="hybridMultilevel"/>
    <w:tmpl w:val="6A0CD41A"/>
    <w:lvl w:ilvl="0" w:tplc="1816538A">
      <w:start w:val="2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AE4A0B"/>
    <w:multiLevelType w:val="multilevel"/>
    <w:tmpl w:val="807E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DA45C4"/>
    <w:multiLevelType w:val="hybridMultilevel"/>
    <w:tmpl w:val="5B261E76"/>
    <w:lvl w:ilvl="0" w:tplc="1C960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A71F5"/>
    <w:multiLevelType w:val="hybridMultilevel"/>
    <w:tmpl w:val="18A60722"/>
    <w:lvl w:ilvl="0" w:tplc="0B788026">
      <w:start w:val="1"/>
      <w:numFmt w:val="bullet"/>
      <w:lvlText w:val=""/>
      <w:lvlJc w:val="left"/>
      <w:pPr>
        <w:ind w:left="720" w:hanging="360"/>
      </w:pPr>
      <w:rPr>
        <w:rFonts w:ascii="Symbol" w:hAnsi="Symbol" w:hint="default"/>
      </w:rPr>
    </w:lvl>
    <w:lvl w:ilvl="1" w:tplc="981E3280">
      <w:start w:val="1"/>
      <w:numFmt w:val="bullet"/>
      <w:lvlText w:val="o"/>
      <w:lvlJc w:val="left"/>
      <w:pPr>
        <w:ind w:left="1440" w:hanging="360"/>
      </w:pPr>
      <w:rPr>
        <w:rFonts w:ascii="Courier New" w:hAnsi="Courier New" w:hint="default"/>
      </w:rPr>
    </w:lvl>
    <w:lvl w:ilvl="2" w:tplc="A62C72A4">
      <w:start w:val="1"/>
      <w:numFmt w:val="bullet"/>
      <w:lvlText w:val=""/>
      <w:lvlJc w:val="left"/>
      <w:pPr>
        <w:ind w:left="2160" w:hanging="360"/>
      </w:pPr>
      <w:rPr>
        <w:rFonts w:ascii="Wingdings" w:hAnsi="Wingdings" w:hint="default"/>
      </w:rPr>
    </w:lvl>
    <w:lvl w:ilvl="3" w:tplc="57303CFE">
      <w:start w:val="1"/>
      <w:numFmt w:val="bullet"/>
      <w:lvlText w:val=""/>
      <w:lvlJc w:val="left"/>
      <w:pPr>
        <w:ind w:left="2880" w:hanging="360"/>
      </w:pPr>
      <w:rPr>
        <w:rFonts w:ascii="Symbol" w:hAnsi="Symbol" w:hint="default"/>
      </w:rPr>
    </w:lvl>
    <w:lvl w:ilvl="4" w:tplc="3A9600D6">
      <w:start w:val="1"/>
      <w:numFmt w:val="bullet"/>
      <w:lvlText w:val="o"/>
      <w:lvlJc w:val="left"/>
      <w:pPr>
        <w:ind w:left="3600" w:hanging="360"/>
      </w:pPr>
      <w:rPr>
        <w:rFonts w:ascii="Courier New" w:hAnsi="Courier New" w:hint="default"/>
      </w:rPr>
    </w:lvl>
    <w:lvl w:ilvl="5" w:tplc="5290EA1A">
      <w:start w:val="1"/>
      <w:numFmt w:val="bullet"/>
      <w:lvlText w:val=""/>
      <w:lvlJc w:val="left"/>
      <w:pPr>
        <w:ind w:left="4320" w:hanging="360"/>
      </w:pPr>
      <w:rPr>
        <w:rFonts w:ascii="Wingdings" w:hAnsi="Wingdings" w:hint="default"/>
      </w:rPr>
    </w:lvl>
    <w:lvl w:ilvl="6" w:tplc="69DA3DE2">
      <w:start w:val="1"/>
      <w:numFmt w:val="bullet"/>
      <w:lvlText w:val=""/>
      <w:lvlJc w:val="left"/>
      <w:pPr>
        <w:ind w:left="5040" w:hanging="360"/>
      </w:pPr>
      <w:rPr>
        <w:rFonts w:ascii="Symbol" w:hAnsi="Symbol" w:hint="default"/>
      </w:rPr>
    </w:lvl>
    <w:lvl w:ilvl="7" w:tplc="8A347D0E">
      <w:start w:val="1"/>
      <w:numFmt w:val="bullet"/>
      <w:lvlText w:val="o"/>
      <w:lvlJc w:val="left"/>
      <w:pPr>
        <w:ind w:left="5760" w:hanging="360"/>
      </w:pPr>
      <w:rPr>
        <w:rFonts w:ascii="Courier New" w:hAnsi="Courier New" w:hint="default"/>
      </w:rPr>
    </w:lvl>
    <w:lvl w:ilvl="8" w:tplc="E288F57E">
      <w:start w:val="1"/>
      <w:numFmt w:val="bullet"/>
      <w:lvlText w:val=""/>
      <w:lvlJc w:val="left"/>
      <w:pPr>
        <w:ind w:left="6480" w:hanging="360"/>
      </w:pPr>
      <w:rPr>
        <w:rFonts w:ascii="Wingdings" w:hAnsi="Wingdings" w:hint="default"/>
      </w:rPr>
    </w:lvl>
  </w:abstractNum>
  <w:abstractNum w:abstractNumId="29" w15:restartNumberingAfterBreak="0">
    <w:nsid w:val="5DB3567D"/>
    <w:multiLevelType w:val="hybridMultilevel"/>
    <w:tmpl w:val="2D321FC6"/>
    <w:lvl w:ilvl="0" w:tplc="061EEC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6616E"/>
    <w:multiLevelType w:val="hybridMultilevel"/>
    <w:tmpl w:val="A4BA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37A5"/>
    <w:multiLevelType w:val="hybridMultilevel"/>
    <w:tmpl w:val="3394206C"/>
    <w:lvl w:ilvl="0" w:tplc="C8C49A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1306C7"/>
    <w:multiLevelType w:val="hybridMultilevel"/>
    <w:tmpl w:val="3F26E736"/>
    <w:lvl w:ilvl="0" w:tplc="0EBEFB0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E092C"/>
    <w:multiLevelType w:val="multilevel"/>
    <w:tmpl w:val="14CC170A"/>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B17C97"/>
    <w:multiLevelType w:val="multilevel"/>
    <w:tmpl w:val="1B0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1089B"/>
    <w:multiLevelType w:val="hybridMultilevel"/>
    <w:tmpl w:val="A9908F68"/>
    <w:lvl w:ilvl="0" w:tplc="15FCCA5E">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5731B1"/>
    <w:multiLevelType w:val="hybridMultilevel"/>
    <w:tmpl w:val="4CF0E9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397CDB"/>
    <w:multiLevelType w:val="hybridMultilevel"/>
    <w:tmpl w:val="FDFC5480"/>
    <w:lvl w:ilvl="0" w:tplc="6C685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2"/>
  </w:num>
  <w:num w:numId="4">
    <w:abstractNumId w:val="0"/>
  </w:num>
  <w:num w:numId="5">
    <w:abstractNumId w:val="29"/>
  </w:num>
  <w:num w:numId="6">
    <w:abstractNumId w:val="9"/>
  </w:num>
  <w:num w:numId="7">
    <w:abstractNumId w:val="1"/>
  </w:num>
  <w:num w:numId="8">
    <w:abstractNumId w:val="20"/>
  </w:num>
  <w:num w:numId="9">
    <w:abstractNumId w:val="32"/>
  </w:num>
  <w:num w:numId="10">
    <w:abstractNumId w:val="10"/>
  </w:num>
  <w:num w:numId="11">
    <w:abstractNumId w:val="22"/>
  </w:num>
  <w:num w:numId="12">
    <w:abstractNumId w:val="30"/>
  </w:num>
  <w:num w:numId="13">
    <w:abstractNumId w:val="6"/>
  </w:num>
  <w:num w:numId="14">
    <w:abstractNumId w:val="13"/>
  </w:num>
  <w:num w:numId="15">
    <w:abstractNumId w:val="18"/>
  </w:num>
  <w:num w:numId="16">
    <w:abstractNumId w:val="27"/>
  </w:num>
  <w:num w:numId="17">
    <w:abstractNumId w:val="24"/>
  </w:num>
  <w:num w:numId="18">
    <w:abstractNumId w:val="11"/>
  </w:num>
  <w:num w:numId="19">
    <w:abstractNumId w:val="5"/>
  </w:num>
  <w:num w:numId="20">
    <w:abstractNumId w:val="31"/>
  </w:num>
  <w:num w:numId="21">
    <w:abstractNumId w:val="37"/>
  </w:num>
  <w:num w:numId="22">
    <w:abstractNumId w:val="16"/>
  </w:num>
  <w:num w:numId="23">
    <w:abstractNumId w:val="35"/>
  </w:num>
  <w:num w:numId="24">
    <w:abstractNumId w:val="14"/>
  </w:num>
  <w:num w:numId="25">
    <w:abstractNumId w:val="33"/>
  </w:num>
  <w:num w:numId="26">
    <w:abstractNumId w:val="15"/>
  </w:num>
  <w:num w:numId="27">
    <w:abstractNumId w:val="26"/>
  </w:num>
  <w:num w:numId="28">
    <w:abstractNumId w:val="34"/>
  </w:num>
  <w:num w:numId="29">
    <w:abstractNumId w:val="19"/>
  </w:num>
  <w:num w:numId="30">
    <w:abstractNumId w:val="7"/>
  </w:num>
  <w:num w:numId="31">
    <w:abstractNumId w:val="36"/>
  </w:num>
  <w:num w:numId="32">
    <w:abstractNumId w:val="21"/>
  </w:num>
  <w:num w:numId="33">
    <w:abstractNumId w:val="2"/>
  </w:num>
  <w:num w:numId="34">
    <w:abstractNumId w:val="8"/>
  </w:num>
  <w:num w:numId="35">
    <w:abstractNumId w:val="25"/>
  </w:num>
  <w:num w:numId="36">
    <w:abstractNumId w:val="4"/>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74"/>
    <w:rsid w:val="00002022"/>
    <w:rsid w:val="00002524"/>
    <w:rsid w:val="000039AE"/>
    <w:rsid w:val="00004C79"/>
    <w:rsid w:val="00005DE9"/>
    <w:rsid w:val="00005EB8"/>
    <w:rsid w:val="000103BC"/>
    <w:rsid w:val="00011A02"/>
    <w:rsid w:val="00012B51"/>
    <w:rsid w:val="0001348A"/>
    <w:rsid w:val="000151D2"/>
    <w:rsid w:val="00015FFE"/>
    <w:rsid w:val="0002139A"/>
    <w:rsid w:val="00022E51"/>
    <w:rsid w:val="000254F3"/>
    <w:rsid w:val="00025F01"/>
    <w:rsid w:val="00027EA5"/>
    <w:rsid w:val="00030E24"/>
    <w:rsid w:val="00031C96"/>
    <w:rsid w:val="0003562A"/>
    <w:rsid w:val="000430C0"/>
    <w:rsid w:val="00043721"/>
    <w:rsid w:val="00043D06"/>
    <w:rsid w:val="00054A06"/>
    <w:rsid w:val="00054F0F"/>
    <w:rsid w:val="00056568"/>
    <w:rsid w:val="00057901"/>
    <w:rsid w:val="00057B72"/>
    <w:rsid w:val="00064FA8"/>
    <w:rsid w:val="00067E8E"/>
    <w:rsid w:val="000708E7"/>
    <w:rsid w:val="000719F8"/>
    <w:rsid w:val="00074441"/>
    <w:rsid w:val="0007736C"/>
    <w:rsid w:val="00077F97"/>
    <w:rsid w:val="00080850"/>
    <w:rsid w:val="00080E89"/>
    <w:rsid w:val="00081F72"/>
    <w:rsid w:val="00083144"/>
    <w:rsid w:val="000834F3"/>
    <w:rsid w:val="000843E8"/>
    <w:rsid w:val="00091D17"/>
    <w:rsid w:val="00091D4E"/>
    <w:rsid w:val="00092957"/>
    <w:rsid w:val="00093F99"/>
    <w:rsid w:val="00094FE3"/>
    <w:rsid w:val="00095C9C"/>
    <w:rsid w:val="00097F5D"/>
    <w:rsid w:val="000A0D07"/>
    <w:rsid w:val="000A2E89"/>
    <w:rsid w:val="000A3B08"/>
    <w:rsid w:val="000A3B27"/>
    <w:rsid w:val="000A489C"/>
    <w:rsid w:val="000B1528"/>
    <w:rsid w:val="000B2AA9"/>
    <w:rsid w:val="000B4B24"/>
    <w:rsid w:val="000B662D"/>
    <w:rsid w:val="000C2662"/>
    <w:rsid w:val="000C4C89"/>
    <w:rsid w:val="000C4C9B"/>
    <w:rsid w:val="000D15C6"/>
    <w:rsid w:val="000D29BA"/>
    <w:rsid w:val="000D4CD1"/>
    <w:rsid w:val="000D5C86"/>
    <w:rsid w:val="000E24A0"/>
    <w:rsid w:val="000E2990"/>
    <w:rsid w:val="000E3F7C"/>
    <w:rsid w:val="000F2989"/>
    <w:rsid w:val="000F5870"/>
    <w:rsid w:val="000F7D2A"/>
    <w:rsid w:val="00102339"/>
    <w:rsid w:val="001032E3"/>
    <w:rsid w:val="001048E1"/>
    <w:rsid w:val="00105F5F"/>
    <w:rsid w:val="00113FD8"/>
    <w:rsid w:val="0011434E"/>
    <w:rsid w:val="00116AB0"/>
    <w:rsid w:val="00116F7E"/>
    <w:rsid w:val="00120D78"/>
    <w:rsid w:val="00121CBA"/>
    <w:rsid w:val="001222F6"/>
    <w:rsid w:val="00122D19"/>
    <w:rsid w:val="00123554"/>
    <w:rsid w:val="00124461"/>
    <w:rsid w:val="0013248A"/>
    <w:rsid w:val="00132DDE"/>
    <w:rsid w:val="001343AA"/>
    <w:rsid w:val="00135D16"/>
    <w:rsid w:val="0013609C"/>
    <w:rsid w:val="00141AF8"/>
    <w:rsid w:val="00143298"/>
    <w:rsid w:val="00144740"/>
    <w:rsid w:val="00145A82"/>
    <w:rsid w:val="00146EFE"/>
    <w:rsid w:val="00147232"/>
    <w:rsid w:val="00152708"/>
    <w:rsid w:val="00152AC8"/>
    <w:rsid w:val="00154C55"/>
    <w:rsid w:val="00155616"/>
    <w:rsid w:val="0015564F"/>
    <w:rsid w:val="00156FA1"/>
    <w:rsid w:val="001574EC"/>
    <w:rsid w:val="00157507"/>
    <w:rsid w:val="00157F45"/>
    <w:rsid w:val="001613AB"/>
    <w:rsid w:val="001674CD"/>
    <w:rsid w:val="00167989"/>
    <w:rsid w:val="001706BC"/>
    <w:rsid w:val="001713DA"/>
    <w:rsid w:val="00174500"/>
    <w:rsid w:val="001776E1"/>
    <w:rsid w:val="001801C7"/>
    <w:rsid w:val="001806A0"/>
    <w:rsid w:val="001817FB"/>
    <w:rsid w:val="001818AE"/>
    <w:rsid w:val="0018400F"/>
    <w:rsid w:val="00184CBC"/>
    <w:rsid w:val="00185C26"/>
    <w:rsid w:val="00186397"/>
    <w:rsid w:val="00186E1C"/>
    <w:rsid w:val="0019165D"/>
    <w:rsid w:val="001974D0"/>
    <w:rsid w:val="001A0E78"/>
    <w:rsid w:val="001A14D6"/>
    <w:rsid w:val="001A5947"/>
    <w:rsid w:val="001A5DCD"/>
    <w:rsid w:val="001A68E3"/>
    <w:rsid w:val="001A6D27"/>
    <w:rsid w:val="001A73A3"/>
    <w:rsid w:val="001A7EF4"/>
    <w:rsid w:val="001B0BD3"/>
    <w:rsid w:val="001B148D"/>
    <w:rsid w:val="001B3239"/>
    <w:rsid w:val="001B4178"/>
    <w:rsid w:val="001B657C"/>
    <w:rsid w:val="001B7A2F"/>
    <w:rsid w:val="001C23F7"/>
    <w:rsid w:val="001C33CA"/>
    <w:rsid w:val="001C50AB"/>
    <w:rsid w:val="001D0E81"/>
    <w:rsid w:val="001D3AAB"/>
    <w:rsid w:val="001D4FC6"/>
    <w:rsid w:val="001D5C9A"/>
    <w:rsid w:val="001E6404"/>
    <w:rsid w:val="001E752E"/>
    <w:rsid w:val="001E7EF3"/>
    <w:rsid w:val="001F0582"/>
    <w:rsid w:val="001F370B"/>
    <w:rsid w:val="001F4768"/>
    <w:rsid w:val="001F60DF"/>
    <w:rsid w:val="001F62AA"/>
    <w:rsid w:val="001F62E2"/>
    <w:rsid w:val="0020495B"/>
    <w:rsid w:val="00206064"/>
    <w:rsid w:val="0020644D"/>
    <w:rsid w:val="00207A8D"/>
    <w:rsid w:val="0021097A"/>
    <w:rsid w:val="00213198"/>
    <w:rsid w:val="0021572F"/>
    <w:rsid w:val="002170A6"/>
    <w:rsid w:val="002209AC"/>
    <w:rsid w:val="00221470"/>
    <w:rsid w:val="002251C0"/>
    <w:rsid w:val="002252DB"/>
    <w:rsid w:val="0023247A"/>
    <w:rsid w:val="00232A45"/>
    <w:rsid w:val="00235450"/>
    <w:rsid w:val="00235726"/>
    <w:rsid w:val="0024206C"/>
    <w:rsid w:val="00242423"/>
    <w:rsid w:val="00244123"/>
    <w:rsid w:val="002474F6"/>
    <w:rsid w:val="00250494"/>
    <w:rsid w:val="00250848"/>
    <w:rsid w:val="00250C3E"/>
    <w:rsid w:val="00250D12"/>
    <w:rsid w:val="002510C6"/>
    <w:rsid w:val="00251C4D"/>
    <w:rsid w:val="00253BBA"/>
    <w:rsid w:val="00254F13"/>
    <w:rsid w:val="00256D12"/>
    <w:rsid w:val="0026473D"/>
    <w:rsid w:val="002657DC"/>
    <w:rsid w:val="00265F7A"/>
    <w:rsid w:val="0027080E"/>
    <w:rsid w:val="00275E54"/>
    <w:rsid w:val="00280FE7"/>
    <w:rsid w:val="002813E6"/>
    <w:rsid w:val="00281A10"/>
    <w:rsid w:val="00283463"/>
    <w:rsid w:val="00285CAD"/>
    <w:rsid w:val="00286F1B"/>
    <w:rsid w:val="00287D6E"/>
    <w:rsid w:val="00291844"/>
    <w:rsid w:val="00292F75"/>
    <w:rsid w:val="0029520B"/>
    <w:rsid w:val="002967AC"/>
    <w:rsid w:val="00296A62"/>
    <w:rsid w:val="002A24F7"/>
    <w:rsid w:val="002A30E3"/>
    <w:rsid w:val="002A4971"/>
    <w:rsid w:val="002A55E1"/>
    <w:rsid w:val="002A7840"/>
    <w:rsid w:val="002A7A32"/>
    <w:rsid w:val="002B0673"/>
    <w:rsid w:val="002B36DE"/>
    <w:rsid w:val="002B4645"/>
    <w:rsid w:val="002B499E"/>
    <w:rsid w:val="002B6A2B"/>
    <w:rsid w:val="002C16A0"/>
    <w:rsid w:val="002D0636"/>
    <w:rsid w:val="002D15F6"/>
    <w:rsid w:val="002D2DEC"/>
    <w:rsid w:val="002D3E93"/>
    <w:rsid w:val="002D5402"/>
    <w:rsid w:val="002E4572"/>
    <w:rsid w:val="002E6A46"/>
    <w:rsid w:val="002F065B"/>
    <w:rsid w:val="002F0A7A"/>
    <w:rsid w:val="002F0BB8"/>
    <w:rsid w:val="002F18A2"/>
    <w:rsid w:val="002F2F15"/>
    <w:rsid w:val="00301540"/>
    <w:rsid w:val="00301E82"/>
    <w:rsid w:val="00302416"/>
    <w:rsid w:val="00302529"/>
    <w:rsid w:val="00302811"/>
    <w:rsid w:val="003035FA"/>
    <w:rsid w:val="00303BC7"/>
    <w:rsid w:val="00307476"/>
    <w:rsid w:val="00311EDA"/>
    <w:rsid w:val="003211B4"/>
    <w:rsid w:val="00322260"/>
    <w:rsid w:val="0032393A"/>
    <w:rsid w:val="00323EDE"/>
    <w:rsid w:val="00324FFE"/>
    <w:rsid w:val="00326DD0"/>
    <w:rsid w:val="00327763"/>
    <w:rsid w:val="0033084E"/>
    <w:rsid w:val="00332BD1"/>
    <w:rsid w:val="0033307B"/>
    <w:rsid w:val="00335C83"/>
    <w:rsid w:val="003379DC"/>
    <w:rsid w:val="003403F9"/>
    <w:rsid w:val="00344177"/>
    <w:rsid w:val="00345324"/>
    <w:rsid w:val="00345A92"/>
    <w:rsid w:val="003479C8"/>
    <w:rsid w:val="00353681"/>
    <w:rsid w:val="00360D8C"/>
    <w:rsid w:val="00360DDD"/>
    <w:rsid w:val="0036215B"/>
    <w:rsid w:val="00367028"/>
    <w:rsid w:val="003676A3"/>
    <w:rsid w:val="00370C94"/>
    <w:rsid w:val="00374A82"/>
    <w:rsid w:val="0038003F"/>
    <w:rsid w:val="00381FDA"/>
    <w:rsid w:val="00382EF6"/>
    <w:rsid w:val="00387309"/>
    <w:rsid w:val="00391121"/>
    <w:rsid w:val="00391A33"/>
    <w:rsid w:val="00391A61"/>
    <w:rsid w:val="00391F83"/>
    <w:rsid w:val="003957FE"/>
    <w:rsid w:val="0039651C"/>
    <w:rsid w:val="003A1C1A"/>
    <w:rsid w:val="003A3E9A"/>
    <w:rsid w:val="003B287B"/>
    <w:rsid w:val="003B3D2A"/>
    <w:rsid w:val="003B4B9C"/>
    <w:rsid w:val="003C0955"/>
    <w:rsid w:val="003C1B54"/>
    <w:rsid w:val="003C1B7F"/>
    <w:rsid w:val="003C3037"/>
    <w:rsid w:val="003C349D"/>
    <w:rsid w:val="003C3924"/>
    <w:rsid w:val="003C7639"/>
    <w:rsid w:val="003D0F56"/>
    <w:rsid w:val="003D117D"/>
    <w:rsid w:val="003D2908"/>
    <w:rsid w:val="003D53FD"/>
    <w:rsid w:val="003D6CD5"/>
    <w:rsid w:val="003D7F03"/>
    <w:rsid w:val="003E0768"/>
    <w:rsid w:val="003E07B0"/>
    <w:rsid w:val="003E560D"/>
    <w:rsid w:val="003E6833"/>
    <w:rsid w:val="003F098E"/>
    <w:rsid w:val="003F138A"/>
    <w:rsid w:val="003F1B9A"/>
    <w:rsid w:val="003F352E"/>
    <w:rsid w:val="003F35B0"/>
    <w:rsid w:val="003F43C4"/>
    <w:rsid w:val="003F469B"/>
    <w:rsid w:val="003F4BB5"/>
    <w:rsid w:val="003F5640"/>
    <w:rsid w:val="003F5AEE"/>
    <w:rsid w:val="003F60E5"/>
    <w:rsid w:val="003F62D3"/>
    <w:rsid w:val="003F7CE9"/>
    <w:rsid w:val="0040030A"/>
    <w:rsid w:val="00401B28"/>
    <w:rsid w:val="00402028"/>
    <w:rsid w:val="00406406"/>
    <w:rsid w:val="00410F44"/>
    <w:rsid w:val="00411149"/>
    <w:rsid w:val="004129BF"/>
    <w:rsid w:val="004168AD"/>
    <w:rsid w:val="00417DA8"/>
    <w:rsid w:val="00417ECE"/>
    <w:rsid w:val="004208E2"/>
    <w:rsid w:val="00420F98"/>
    <w:rsid w:val="00422187"/>
    <w:rsid w:val="00423C46"/>
    <w:rsid w:val="00430451"/>
    <w:rsid w:val="00432379"/>
    <w:rsid w:val="0043283A"/>
    <w:rsid w:val="004338CB"/>
    <w:rsid w:val="00434903"/>
    <w:rsid w:val="00437BB7"/>
    <w:rsid w:val="00437C5E"/>
    <w:rsid w:val="004402B7"/>
    <w:rsid w:val="0044155A"/>
    <w:rsid w:val="00441B90"/>
    <w:rsid w:val="00445029"/>
    <w:rsid w:val="00450DF0"/>
    <w:rsid w:val="0045485F"/>
    <w:rsid w:val="004550F9"/>
    <w:rsid w:val="00455264"/>
    <w:rsid w:val="00455DCD"/>
    <w:rsid w:val="004569BB"/>
    <w:rsid w:val="00460814"/>
    <w:rsid w:val="004631F7"/>
    <w:rsid w:val="0046572A"/>
    <w:rsid w:val="00471DBE"/>
    <w:rsid w:val="00472191"/>
    <w:rsid w:val="00472285"/>
    <w:rsid w:val="004733F0"/>
    <w:rsid w:val="004804DC"/>
    <w:rsid w:val="004813D4"/>
    <w:rsid w:val="00485E50"/>
    <w:rsid w:val="00486E3A"/>
    <w:rsid w:val="00490EAF"/>
    <w:rsid w:val="00492644"/>
    <w:rsid w:val="004929F7"/>
    <w:rsid w:val="004948F2"/>
    <w:rsid w:val="0049763E"/>
    <w:rsid w:val="00497FAC"/>
    <w:rsid w:val="004A0D78"/>
    <w:rsid w:val="004A0DDF"/>
    <w:rsid w:val="004A1592"/>
    <w:rsid w:val="004A37B6"/>
    <w:rsid w:val="004A56DE"/>
    <w:rsid w:val="004A64EF"/>
    <w:rsid w:val="004B22C6"/>
    <w:rsid w:val="004B39ED"/>
    <w:rsid w:val="004B3B03"/>
    <w:rsid w:val="004B5F74"/>
    <w:rsid w:val="004B6CCC"/>
    <w:rsid w:val="004B70CE"/>
    <w:rsid w:val="004C2289"/>
    <w:rsid w:val="004C255F"/>
    <w:rsid w:val="004C2565"/>
    <w:rsid w:val="004C41E1"/>
    <w:rsid w:val="004C59CE"/>
    <w:rsid w:val="004D3E0F"/>
    <w:rsid w:val="004D7E7B"/>
    <w:rsid w:val="004E1552"/>
    <w:rsid w:val="004E1893"/>
    <w:rsid w:val="004E4C0F"/>
    <w:rsid w:val="004E4FEF"/>
    <w:rsid w:val="004E5064"/>
    <w:rsid w:val="004E5514"/>
    <w:rsid w:val="004E7314"/>
    <w:rsid w:val="004F0D10"/>
    <w:rsid w:val="004F1FFB"/>
    <w:rsid w:val="004F31FD"/>
    <w:rsid w:val="004F4D47"/>
    <w:rsid w:val="004F54CB"/>
    <w:rsid w:val="004F7E87"/>
    <w:rsid w:val="00503023"/>
    <w:rsid w:val="00503A5D"/>
    <w:rsid w:val="00505C50"/>
    <w:rsid w:val="00506B78"/>
    <w:rsid w:val="005105F4"/>
    <w:rsid w:val="00512B6E"/>
    <w:rsid w:val="00514BEB"/>
    <w:rsid w:val="00514CE9"/>
    <w:rsid w:val="00514F68"/>
    <w:rsid w:val="0051531C"/>
    <w:rsid w:val="0051624B"/>
    <w:rsid w:val="005226D9"/>
    <w:rsid w:val="00525194"/>
    <w:rsid w:val="00526CEB"/>
    <w:rsid w:val="005271CA"/>
    <w:rsid w:val="0053679D"/>
    <w:rsid w:val="00537600"/>
    <w:rsid w:val="005402F8"/>
    <w:rsid w:val="0054141D"/>
    <w:rsid w:val="00541A12"/>
    <w:rsid w:val="00544F39"/>
    <w:rsid w:val="005469E6"/>
    <w:rsid w:val="00546D5C"/>
    <w:rsid w:val="00552444"/>
    <w:rsid w:val="00552B92"/>
    <w:rsid w:val="00557974"/>
    <w:rsid w:val="00560E16"/>
    <w:rsid w:val="00560F24"/>
    <w:rsid w:val="00561ED7"/>
    <w:rsid w:val="00562449"/>
    <w:rsid w:val="00564DD5"/>
    <w:rsid w:val="00565079"/>
    <w:rsid w:val="005661BB"/>
    <w:rsid w:val="00567286"/>
    <w:rsid w:val="005675A0"/>
    <w:rsid w:val="00567AA2"/>
    <w:rsid w:val="005726B3"/>
    <w:rsid w:val="00572E0B"/>
    <w:rsid w:val="00573DCC"/>
    <w:rsid w:val="00573E78"/>
    <w:rsid w:val="005743B1"/>
    <w:rsid w:val="005746EE"/>
    <w:rsid w:val="00574F0C"/>
    <w:rsid w:val="00580A25"/>
    <w:rsid w:val="00583786"/>
    <w:rsid w:val="00584E5E"/>
    <w:rsid w:val="00584E61"/>
    <w:rsid w:val="00586F69"/>
    <w:rsid w:val="00587F91"/>
    <w:rsid w:val="00590355"/>
    <w:rsid w:val="005931CE"/>
    <w:rsid w:val="00593B1C"/>
    <w:rsid w:val="00593E04"/>
    <w:rsid w:val="00594336"/>
    <w:rsid w:val="00595F80"/>
    <w:rsid w:val="0059737B"/>
    <w:rsid w:val="005A2602"/>
    <w:rsid w:val="005A3555"/>
    <w:rsid w:val="005A4B41"/>
    <w:rsid w:val="005A5A66"/>
    <w:rsid w:val="005A72B1"/>
    <w:rsid w:val="005B1675"/>
    <w:rsid w:val="005B1AE6"/>
    <w:rsid w:val="005B420D"/>
    <w:rsid w:val="005B5484"/>
    <w:rsid w:val="005B5DDF"/>
    <w:rsid w:val="005B6586"/>
    <w:rsid w:val="005B781B"/>
    <w:rsid w:val="005B7DEF"/>
    <w:rsid w:val="005B7FAA"/>
    <w:rsid w:val="005C0931"/>
    <w:rsid w:val="005C1426"/>
    <w:rsid w:val="005C29E7"/>
    <w:rsid w:val="005C3770"/>
    <w:rsid w:val="005C689A"/>
    <w:rsid w:val="005D3B73"/>
    <w:rsid w:val="005D410D"/>
    <w:rsid w:val="005D4AD3"/>
    <w:rsid w:val="005D4D78"/>
    <w:rsid w:val="005D590C"/>
    <w:rsid w:val="005D5D43"/>
    <w:rsid w:val="005E08E3"/>
    <w:rsid w:val="005E0A78"/>
    <w:rsid w:val="005E21B3"/>
    <w:rsid w:val="005E2F82"/>
    <w:rsid w:val="005E6003"/>
    <w:rsid w:val="005F008D"/>
    <w:rsid w:val="005F2398"/>
    <w:rsid w:val="005F243D"/>
    <w:rsid w:val="005F35E1"/>
    <w:rsid w:val="005F41A8"/>
    <w:rsid w:val="005F4DC6"/>
    <w:rsid w:val="005F5A9C"/>
    <w:rsid w:val="005F6567"/>
    <w:rsid w:val="005F7B46"/>
    <w:rsid w:val="00601837"/>
    <w:rsid w:val="006034E6"/>
    <w:rsid w:val="00605663"/>
    <w:rsid w:val="00605ADC"/>
    <w:rsid w:val="006100FA"/>
    <w:rsid w:val="00612173"/>
    <w:rsid w:val="006132AA"/>
    <w:rsid w:val="006136B9"/>
    <w:rsid w:val="0061483C"/>
    <w:rsid w:val="0061559E"/>
    <w:rsid w:val="00620FBD"/>
    <w:rsid w:val="00622758"/>
    <w:rsid w:val="00623129"/>
    <w:rsid w:val="00623384"/>
    <w:rsid w:val="0062475B"/>
    <w:rsid w:val="00625568"/>
    <w:rsid w:val="00626FE5"/>
    <w:rsid w:val="00627122"/>
    <w:rsid w:val="00632357"/>
    <w:rsid w:val="00636AF1"/>
    <w:rsid w:val="00636DCD"/>
    <w:rsid w:val="00637455"/>
    <w:rsid w:val="00637D09"/>
    <w:rsid w:val="00644DFF"/>
    <w:rsid w:val="006460E4"/>
    <w:rsid w:val="00646C74"/>
    <w:rsid w:val="0065178D"/>
    <w:rsid w:val="00651CB5"/>
    <w:rsid w:val="006533AF"/>
    <w:rsid w:val="006538A3"/>
    <w:rsid w:val="00654B93"/>
    <w:rsid w:val="00661620"/>
    <w:rsid w:val="006627F7"/>
    <w:rsid w:val="00662AD2"/>
    <w:rsid w:val="006701F5"/>
    <w:rsid w:val="00672CDA"/>
    <w:rsid w:val="00672E13"/>
    <w:rsid w:val="0067336D"/>
    <w:rsid w:val="006765FC"/>
    <w:rsid w:val="006828DC"/>
    <w:rsid w:val="00684022"/>
    <w:rsid w:val="00684CDC"/>
    <w:rsid w:val="00687DDF"/>
    <w:rsid w:val="00690C33"/>
    <w:rsid w:val="006919BC"/>
    <w:rsid w:val="00692143"/>
    <w:rsid w:val="00693335"/>
    <w:rsid w:val="00694FBB"/>
    <w:rsid w:val="00695931"/>
    <w:rsid w:val="006A0335"/>
    <w:rsid w:val="006A1424"/>
    <w:rsid w:val="006A19B7"/>
    <w:rsid w:val="006A5234"/>
    <w:rsid w:val="006A7EBD"/>
    <w:rsid w:val="006B3F66"/>
    <w:rsid w:val="006B7E62"/>
    <w:rsid w:val="006C0947"/>
    <w:rsid w:val="006C15F7"/>
    <w:rsid w:val="006C2C9E"/>
    <w:rsid w:val="006C2F4B"/>
    <w:rsid w:val="006C460D"/>
    <w:rsid w:val="006C4DB7"/>
    <w:rsid w:val="006C65C7"/>
    <w:rsid w:val="006D1F4F"/>
    <w:rsid w:val="006D29C7"/>
    <w:rsid w:val="006D40DF"/>
    <w:rsid w:val="006D5674"/>
    <w:rsid w:val="006E081D"/>
    <w:rsid w:val="006E0C5D"/>
    <w:rsid w:val="006E20D9"/>
    <w:rsid w:val="006E3946"/>
    <w:rsid w:val="006E3AD3"/>
    <w:rsid w:val="006E715F"/>
    <w:rsid w:val="006F164D"/>
    <w:rsid w:val="006F1DF9"/>
    <w:rsid w:val="006F2CE7"/>
    <w:rsid w:val="007032D2"/>
    <w:rsid w:val="00703D7C"/>
    <w:rsid w:val="007046C1"/>
    <w:rsid w:val="00704BA0"/>
    <w:rsid w:val="0071488D"/>
    <w:rsid w:val="007159C6"/>
    <w:rsid w:val="00716792"/>
    <w:rsid w:val="00717560"/>
    <w:rsid w:val="00717881"/>
    <w:rsid w:val="0072448D"/>
    <w:rsid w:val="00724F75"/>
    <w:rsid w:val="00725AFA"/>
    <w:rsid w:val="00727888"/>
    <w:rsid w:val="007309A9"/>
    <w:rsid w:val="00732A77"/>
    <w:rsid w:val="00732B67"/>
    <w:rsid w:val="007344D3"/>
    <w:rsid w:val="00734A14"/>
    <w:rsid w:val="00734ED7"/>
    <w:rsid w:val="007357FC"/>
    <w:rsid w:val="007359E5"/>
    <w:rsid w:val="00736415"/>
    <w:rsid w:val="00736948"/>
    <w:rsid w:val="00736D10"/>
    <w:rsid w:val="007416D3"/>
    <w:rsid w:val="0074183F"/>
    <w:rsid w:val="0074502C"/>
    <w:rsid w:val="007455A1"/>
    <w:rsid w:val="00747752"/>
    <w:rsid w:val="00747A39"/>
    <w:rsid w:val="00750373"/>
    <w:rsid w:val="007504EC"/>
    <w:rsid w:val="007509B9"/>
    <w:rsid w:val="007520DA"/>
    <w:rsid w:val="00755843"/>
    <w:rsid w:val="00756181"/>
    <w:rsid w:val="007575AF"/>
    <w:rsid w:val="00761CB6"/>
    <w:rsid w:val="00764F07"/>
    <w:rsid w:val="00765AD1"/>
    <w:rsid w:val="00766B3E"/>
    <w:rsid w:val="00767767"/>
    <w:rsid w:val="0077065E"/>
    <w:rsid w:val="0077477F"/>
    <w:rsid w:val="00775260"/>
    <w:rsid w:val="0077797B"/>
    <w:rsid w:val="00780859"/>
    <w:rsid w:val="00780BFC"/>
    <w:rsid w:val="00781298"/>
    <w:rsid w:val="007814CD"/>
    <w:rsid w:val="0078154A"/>
    <w:rsid w:val="00781EF7"/>
    <w:rsid w:val="00783781"/>
    <w:rsid w:val="00784657"/>
    <w:rsid w:val="00785F44"/>
    <w:rsid w:val="00786DA9"/>
    <w:rsid w:val="007875CB"/>
    <w:rsid w:val="00790F35"/>
    <w:rsid w:val="0079154C"/>
    <w:rsid w:val="0079537B"/>
    <w:rsid w:val="0079555E"/>
    <w:rsid w:val="007960B8"/>
    <w:rsid w:val="00796C5F"/>
    <w:rsid w:val="00797509"/>
    <w:rsid w:val="0079798C"/>
    <w:rsid w:val="007A0552"/>
    <w:rsid w:val="007A0966"/>
    <w:rsid w:val="007A596C"/>
    <w:rsid w:val="007A5B7E"/>
    <w:rsid w:val="007A6B8E"/>
    <w:rsid w:val="007B416B"/>
    <w:rsid w:val="007C20B0"/>
    <w:rsid w:val="007C5EE5"/>
    <w:rsid w:val="007C61E5"/>
    <w:rsid w:val="007D0A61"/>
    <w:rsid w:val="007D19B1"/>
    <w:rsid w:val="007D4EE6"/>
    <w:rsid w:val="007D70EE"/>
    <w:rsid w:val="007D739C"/>
    <w:rsid w:val="007D7C7F"/>
    <w:rsid w:val="007E16EE"/>
    <w:rsid w:val="007E1C2A"/>
    <w:rsid w:val="007E25B7"/>
    <w:rsid w:val="007E2921"/>
    <w:rsid w:val="007E40AB"/>
    <w:rsid w:val="007E5216"/>
    <w:rsid w:val="007F24B4"/>
    <w:rsid w:val="00801D6F"/>
    <w:rsid w:val="00802840"/>
    <w:rsid w:val="00805B14"/>
    <w:rsid w:val="008112D8"/>
    <w:rsid w:val="00811A1E"/>
    <w:rsid w:val="008134C5"/>
    <w:rsid w:val="00820D23"/>
    <w:rsid w:val="00820EC5"/>
    <w:rsid w:val="00823540"/>
    <w:rsid w:val="00825062"/>
    <w:rsid w:val="0082696D"/>
    <w:rsid w:val="0083100C"/>
    <w:rsid w:val="00832D6C"/>
    <w:rsid w:val="0083306D"/>
    <w:rsid w:val="00833EC3"/>
    <w:rsid w:val="0083423D"/>
    <w:rsid w:val="00835B4B"/>
    <w:rsid w:val="008374B7"/>
    <w:rsid w:val="0084417D"/>
    <w:rsid w:val="00850043"/>
    <w:rsid w:val="00850FF2"/>
    <w:rsid w:val="008530E1"/>
    <w:rsid w:val="00853E94"/>
    <w:rsid w:val="00855401"/>
    <w:rsid w:val="008559CE"/>
    <w:rsid w:val="008600AB"/>
    <w:rsid w:val="00860261"/>
    <w:rsid w:val="008612B0"/>
    <w:rsid w:val="00862F57"/>
    <w:rsid w:val="00863484"/>
    <w:rsid w:val="00864BBE"/>
    <w:rsid w:val="008679E9"/>
    <w:rsid w:val="00870DA0"/>
    <w:rsid w:val="008717AC"/>
    <w:rsid w:val="00871DF5"/>
    <w:rsid w:val="0087242F"/>
    <w:rsid w:val="00872ADE"/>
    <w:rsid w:val="00873F55"/>
    <w:rsid w:val="008743E7"/>
    <w:rsid w:val="00874DAD"/>
    <w:rsid w:val="0087653D"/>
    <w:rsid w:val="00880163"/>
    <w:rsid w:val="00884BBF"/>
    <w:rsid w:val="00884E1B"/>
    <w:rsid w:val="00885114"/>
    <w:rsid w:val="00885C9E"/>
    <w:rsid w:val="00887BD3"/>
    <w:rsid w:val="0089761D"/>
    <w:rsid w:val="008A128C"/>
    <w:rsid w:val="008A1CBF"/>
    <w:rsid w:val="008A2DB4"/>
    <w:rsid w:val="008A2F0E"/>
    <w:rsid w:val="008A326C"/>
    <w:rsid w:val="008A34DA"/>
    <w:rsid w:val="008A5498"/>
    <w:rsid w:val="008A6F92"/>
    <w:rsid w:val="008B1D77"/>
    <w:rsid w:val="008B3683"/>
    <w:rsid w:val="008B47D3"/>
    <w:rsid w:val="008B577E"/>
    <w:rsid w:val="008C1938"/>
    <w:rsid w:val="008C437C"/>
    <w:rsid w:val="008C5DAC"/>
    <w:rsid w:val="008D0C27"/>
    <w:rsid w:val="008D16E0"/>
    <w:rsid w:val="008D1E75"/>
    <w:rsid w:val="008D2DED"/>
    <w:rsid w:val="008D3A38"/>
    <w:rsid w:val="008D47AE"/>
    <w:rsid w:val="008D4EDB"/>
    <w:rsid w:val="008D5094"/>
    <w:rsid w:val="008D5B95"/>
    <w:rsid w:val="008D7F6A"/>
    <w:rsid w:val="008E030A"/>
    <w:rsid w:val="008E10B0"/>
    <w:rsid w:val="008E2350"/>
    <w:rsid w:val="008E2882"/>
    <w:rsid w:val="008E3544"/>
    <w:rsid w:val="008E368B"/>
    <w:rsid w:val="008E620A"/>
    <w:rsid w:val="008E7AB2"/>
    <w:rsid w:val="008F0FB9"/>
    <w:rsid w:val="008F230F"/>
    <w:rsid w:val="008F4E11"/>
    <w:rsid w:val="008F5566"/>
    <w:rsid w:val="0090062D"/>
    <w:rsid w:val="00900895"/>
    <w:rsid w:val="009010AB"/>
    <w:rsid w:val="00902279"/>
    <w:rsid w:val="00904A83"/>
    <w:rsid w:val="00904E06"/>
    <w:rsid w:val="009066EF"/>
    <w:rsid w:val="0090780A"/>
    <w:rsid w:val="00911163"/>
    <w:rsid w:val="00911F67"/>
    <w:rsid w:val="009135A4"/>
    <w:rsid w:val="00914790"/>
    <w:rsid w:val="0091685F"/>
    <w:rsid w:val="00916EA5"/>
    <w:rsid w:val="00920957"/>
    <w:rsid w:val="009220E0"/>
    <w:rsid w:val="009235AC"/>
    <w:rsid w:val="00924539"/>
    <w:rsid w:val="0092588D"/>
    <w:rsid w:val="00927E6E"/>
    <w:rsid w:val="00931A06"/>
    <w:rsid w:val="009340A4"/>
    <w:rsid w:val="00934C8C"/>
    <w:rsid w:val="00936888"/>
    <w:rsid w:val="00943D67"/>
    <w:rsid w:val="0094435D"/>
    <w:rsid w:val="00951AFF"/>
    <w:rsid w:val="0095289B"/>
    <w:rsid w:val="00954572"/>
    <w:rsid w:val="0095606F"/>
    <w:rsid w:val="00956DBB"/>
    <w:rsid w:val="00957D21"/>
    <w:rsid w:val="0096034A"/>
    <w:rsid w:val="00961598"/>
    <w:rsid w:val="00962986"/>
    <w:rsid w:val="00963C06"/>
    <w:rsid w:val="00965B45"/>
    <w:rsid w:val="00975235"/>
    <w:rsid w:val="00977598"/>
    <w:rsid w:val="00984DC3"/>
    <w:rsid w:val="00995B34"/>
    <w:rsid w:val="009A07E4"/>
    <w:rsid w:val="009A084D"/>
    <w:rsid w:val="009A2414"/>
    <w:rsid w:val="009A431F"/>
    <w:rsid w:val="009A52CC"/>
    <w:rsid w:val="009A6295"/>
    <w:rsid w:val="009A66A6"/>
    <w:rsid w:val="009A6F64"/>
    <w:rsid w:val="009B0481"/>
    <w:rsid w:val="009B1D65"/>
    <w:rsid w:val="009B29AC"/>
    <w:rsid w:val="009B2F96"/>
    <w:rsid w:val="009B493D"/>
    <w:rsid w:val="009B503B"/>
    <w:rsid w:val="009B5CB7"/>
    <w:rsid w:val="009B619C"/>
    <w:rsid w:val="009B73D5"/>
    <w:rsid w:val="009B7CE4"/>
    <w:rsid w:val="009B7D91"/>
    <w:rsid w:val="009C0209"/>
    <w:rsid w:val="009C78E3"/>
    <w:rsid w:val="009C7DA8"/>
    <w:rsid w:val="009C7E51"/>
    <w:rsid w:val="009D0D4C"/>
    <w:rsid w:val="009D57B1"/>
    <w:rsid w:val="009D66D9"/>
    <w:rsid w:val="009D6787"/>
    <w:rsid w:val="009E12A4"/>
    <w:rsid w:val="009E1A11"/>
    <w:rsid w:val="009E1D5A"/>
    <w:rsid w:val="009E2AA0"/>
    <w:rsid w:val="009E73BB"/>
    <w:rsid w:val="009F632F"/>
    <w:rsid w:val="00A0003B"/>
    <w:rsid w:val="00A0021C"/>
    <w:rsid w:val="00A01992"/>
    <w:rsid w:val="00A029A2"/>
    <w:rsid w:val="00A0408B"/>
    <w:rsid w:val="00A06265"/>
    <w:rsid w:val="00A1295C"/>
    <w:rsid w:val="00A14128"/>
    <w:rsid w:val="00A149B0"/>
    <w:rsid w:val="00A20EF7"/>
    <w:rsid w:val="00A21E20"/>
    <w:rsid w:val="00A22087"/>
    <w:rsid w:val="00A22944"/>
    <w:rsid w:val="00A30037"/>
    <w:rsid w:val="00A31D2D"/>
    <w:rsid w:val="00A31DD7"/>
    <w:rsid w:val="00A342FE"/>
    <w:rsid w:val="00A40324"/>
    <w:rsid w:val="00A40DF5"/>
    <w:rsid w:val="00A41B6F"/>
    <w:rsid w:val="00A4244F"/>
    <w:rsid w:val="00A425F2"/>
    <w:rsid w:val="00A45E6E"/>
    <w:rsid w:val="00A45E7D"/>
    <w:rsid w:val="00A4695D"/>
    <w:rsid w:val="00A50DB4"/>
    <w:rsid w:val="00A51472"/>
    <w:rsid w:val="00A516B1"/>
    <w:rsid w:val="00A541C8"/>
    <w:rsid w:val="00A54D5B"/>
    <w:rsid w:val="00A55E7D"/>
    <w:rsid w:val="00A60E31"/>
    <w:rsid w:val="00A62320"/>
    <w:rsid w:val="00A6248C"/>
    <w:rsid w:val="00A62569"/>
    <w:rsid w:val="00A63DBE"/>
    <w:rsid w:val="00A64E05"/>
    <w:rsid w:val="00A64FC2"/>
    <w:rsid w:val="00A67334"/>
    <w:rsid w:val="00A703E1"/>
    <w:rsid w:val="00A71A8B"/>
    <w:rsid w:val="00A75ECD"/>
    <w:rsid w:val="00A7633B"/>
    <w:rsid w:val="00A81CF3"/>
    <w:rsid w:val="00A83D0A"/>
    <w:rsid w:val="00A8520E"/>
    <w:rsid w:val="00A86EB0"/>
    <w:rsid w:val="00A87E77"/>
    <w:rsid w:val="00A919EE"/>
    <w:rsid w:val="00A9321C"/>
    <w:rsid w:val="00A9577F"/>
    <w:rsid w:val="00A97C5A"/>
    <w:rsid w:val="00AA02D7"/>
    <w:rsid w:val="00AA2313"/>
    <w:rsid w:val="00AA3134"/>
    <w:rsid w:val="00AA3548"/>
    <w:rsid w:val="00AA3621"/>
    <w:rsid w:val="00AA46F2"/>
    <w:rsid w:val="00AA4DD8"/>
    <w:rsid w:val="00AA605E"/>
    <w:rsid w:val="00AA62BE"/>
    <w:rsid w:val="00AB02DE"/>
    <w:rsid w:val="00AB2109"/>
    <w:rsid w:val="00AB4EB8"/>
    <w:rsid w:val="00AB6D25"/>
    <w:rsid w:val="00AC1ADD"/>
    <w:rsid w:val="00AC5A5F"/>
    <w:rsid w:val="00AC705B"/>
    <w:rsid w:val="00AC7976"/>
    <w:rsid w:val="00AD05B6"/>
    <w:rsid w:val="00AD0FC6"/>
    <w:rsid w:val="00AD458E"/>
    <w:rsid w:val="00AD481E"/>
    <w:rsid w:val="00AD4E39"/>
    <w:rsid w:val="00AD587B"/>
    <w:rsid w:val="00AD6D3B"/>
    <w:rsid w:val="00AE0F11"/>
    <w:rsid w:val="00AE1A5A"/>
    <w:rsid w:val="00AE27C9"/>
    <w:rsid w:val="00AE28E9"/>
    <w:rsid w:val="00AE3B83"/>
    <w:rsid w:val="00AE3C82"/>
    <w:rsid w:val="00AE5CDF"/>
    <w:rsid w:val="00AE65A9"/>
    <w:rsid w:val="00B00741"/>
    <w:rsid w:val="00B015C3"/>
    <w:rsid w:val="00B018E5"/>
    <w:rsid w:val="00B03A1B"/>
    <w:rsid w:val="00B0459C"/>
    <w:rsid w:val="00B06565"/>
    <w:rsid w:val="00B06A5D"/>
    <w:rsid w:val="00B1220C"/>
    <w:rsid w:val="00B1249D"/>
    <w:rsid w:val="00B12579"/>
    <w:rsid w:val="00B1340E"/>
    <w:rsid w:val="00B156A7"/>
    <w:rsid w:val="00B23B62"/>
    <w:rsid w:val="00B245F6"/>
    <w:rsid w:val="00B2611C"/>
    <w:rsid w:val="00B31716"/>
    <w:rsid w:val="00B3190F"/>
    <w:rsid w:val="00B31A0B"/>
    <w:rsid w:val="00B32A00"/>
    <w:rsid w:val="00B335F8"/>
    <w:rsid w:val="00B33F5B"/>
    <w:rsid w:val="00B34803"/>
    <w:rsid w:val="00B366FF"/>
    <w:rsid w:val="00B40F74"/>
    <w:rsid w:val="00B42369"/>
    <w:rsid w:val="00B44423"/>
    <w:rsid w:val="00B44A80"/>
    <w:rsid w:val="00B45A35"/>
    <w:rsid w:val="00B45F8F"/>
    <w:rsid w:val="00B500CA"/>
    <w:rsid w:val="00B50BFC"/>
    <w:rsid w:val="00B518D0"/>
    <w:rsid w:val="00B53D4C"/>
    <w:rsid w:val="00B54EF4"/>
    <w:rsid w:val="00B558A4"/>
    <w:rsid w:val="00B55C08"/>
    <w:rsid w:val="00B56EF3"/>
    <w:rsid w:val="00B578E4"/>
    <w:rsid w:val="00B57F5D"/>
    <w:rsid w:val="00B60B93"/>
    <w:rsid w:val="00B620B1"/>
    <w:rsid w:val="00B621C0"/>
    <w:rsid w:val="00B64331"/>
    <w:rsid w:val="00B66357"/>
    <w:rsid w:val="00B6643F"/>
    <w:rsid w:val="00B669AB"/>
    <w:rsid w:val="00B7018C"/>
    <w:rsid w:val="00B73B41"/>
    <w:rsid w:val="00B74751"/>
    <w:rsid w:val="00B760B6"/>
    <w:rsid w:val="00B7613E"/>
    <w:rsid w:val="00B76683"/>
    <w:rsid w:val="00B77495"/>
    <w:rsid w:val="00B80685"/>
    <w:rsid w:val="00B80ED6"/>
    <w:rsid w:val="00B837B9"/>
    <w:rsid w:val="00B838AD"/>
    <w:rsid w:val="00B846BF"/>
    <w:rsid w:val="00B858AB"/>
    <w:rsid w:val="00B85CE3"/>
    <w:rsid w:val="00B8640C"/>
    <w:rsid w:val="00B86697"/>
    <w:rsid w:val="00B86C4B"/>
    <w:rsid w:val="00B86C83"/>
    <w:rsid w:val="00B90B63"/>
    <w:rsid w:val="00B9174C"/>
    <w:rsid w:val="00B93F5C"/>
    <w:rsid w:val="00B95CFC"/>
    <w:rsid w:val="00BA04A1"/>
    <w:rsid w:val="00BA161C"/>
    <w:rsid w:val="00BA24A7"/>
    <w:rsid w:val="00BA31C8"/>
    <w:rsid w:val="00BA4661"/>
    <w:rsid w:val="00BA50CF"/>
    <w:rsid w:val="00BA5E45"/>
    <w:rsid w:val="00BA76C5"/>
    <w:rsid w:val="00BB01AB"/>
    <w:rsid w:val="00BB1BB7"/>
    <w:rsid w:val="00BB23CD"/>
    <w:rsid w:val="00BB255E"/>
    <w:rsid w:val="00BB2E13"/>
    <w:rsid w:val="00BB38A5"/>
    <w:rsid w:val="00BB4188"/>
    <w:rsid w:val="00BB61A1"/>
    <w:rsid w:val="00BC3CF8"/>
    <w:rsid w:val="00BC4239"/>
    <w:rsid w:val="00BC7D3E"/>
    <w:rsid w:val="00BD00F7"/>
    <w:rsid w:val="00BD20DB"/>
    <w:rsid w:val="00BD2EDB"/>
    <w:rsid w:val="00BD3755"/>
    <w:rsid w:val="00BD3CC3"/>
    <w:rsid w:val="00BE4867"/>
    <w:rsid w:val="00BF1E24"/>
    <w:rsid w:val="00BF2AE4"/>
    <w:rsid w:val="00BF42D4"/>
    <w:rsid w:val="00BF46A7"/>
    <w:rsid w:val="00BF5315"/>
    <w:rsid w:val="00BF54AC"/>
    <w:rsid w:val="00BF7871"/>
    <w:rsid w:val="00BF7C79"/>
    <w:rsid w:val="00C01041"/>
    <w:rsid w:val="00C024E7"/>
    <w:rsid w:val="00C11B52"/>
    <w:rsid w:val="00C16955"/>
    <w:rsid w:val="00C16D6D"/>
    <w:rsid w:val="00C17862"/>
    <w:rsid w:val="00C17C45"/>
    <w:rsid w:val="00C21CF0"/>
    <w:rsid w:val="00C21F0D"/>
    <w:rsid w:val="00C22821"/>
    <w:rsid w:val="00C22DAF"/>
    <w:rsid w:val="00C236F1"/>
    <w:rsid w:val="00C24771"/>
    <w:rsid w:val="00C25143"/>
    <w:rsid w:val="00C2600D"/>
    <w:rsid w:val="00C2633F"/>
    <w:rsid w:val="00C2769F"/>
    <w:rsid w:val="00C3006C"/>
    <w:rsid w:val="00C30A55"/>
    <w:rsid w:val="00C33029"/>
    <w:rsid w:val="00C331B3"/>
    <w:rsid w:val="00C3758D"/>
    <w:rsid w:val="00C37B0E"/>
    <w:rsid w:val="00C40925"/>
    <w:rsid w:val="00C4410D"/>
    <w:rsid w:val="00C44F58"/>
    <w:rsid w:val="00C453A1"/>
    <w:rsid w:val="00C46798"/>
    <w:rsid w:val="00C4687F"/>
    <w:rsid w:val="00C46EE4"/>
    <w:rsid w:val="00C472A0"/>
    <w:rsid w:val="00C50BD6"/>
    <w:rsid w:val="00C51D66"/>
    <w:rsid w:val="00C55DE8"/>
    <w:rsid w:val="00C564E4"/>
    <w:rsid w:val="00C57F41"/>
    <w:rsid w:val="00C60EC8"/>
    <w:rsid w:val="00C639F3"/>
    <w:rsid w:val="00C71EE5"/>
    <w:rsid w:val="00C72CF2"/>
    <w:rsid w:val="00C72F5F"/>
    <w:rsid w:val="00C740AA"/>
    <w:rsid w:val="00C745FE"/>
    <w:rsid w:val="00C777C0"/>
    <w:rsid w:val="00C860E8"/>
    <w:rsid w:val="00C862D5"/>
    <w:rsid w:val="00C91501"/>
    <w:rsid w:val="00C91C1A"/>
    <w:rsid w:val="00C97DE5"/>
    <w:rsid w:val="00CA5299"/>
    <w:rsid w:val="00CA671F"/>
    <w:rsid w:val="00CA7873"/>
    <w:rsid w:val="00CB07CA"/>
    <w:rsid w:val="00CB3A39"/>
    <w:rsid w:val="00CB4A1C"/>
    <w:rsid w:val="00CB4CE0"/>
    <w:rsid w:val="00CB73C5"/>
    <w:rsid w:val="00CC106D"/>
    <w:rsid w:val="00CC3622"/>
    <w:rsid w:val="00CC50C5"/>
    <w:rsid w:val="00CC5596"/>
    <w:rsid w:val="00CC55B8"/>
    <w:rsid w:val="00CC5C5C"/>
    <w:rsid w:val="00CC72F0"/>
    <w:rsid w:val="00CC79EF"/>
    <w:rsid w:val="00CD0FBA"/>
    <w:rsid w:val="00CD374B"/>
    <w:rsid w:val="00CD3CC2"/>
    <w:rsid w:val="00CD729B"/>
    <w:rsid w:val="00CE3B3D"/>
    <w:rsid w:val="00CE429A"/>
    <w:rsid w:val="00CE6793"/>
    <w:rsid w:val="00CE7FDB"/>
    <w:rsid w:val="00CF0A75"/>
    <w:rsid w:val="00CF1229"/>
    <w:rsid w:val="00CF207A"/>
    <w:rsid w:val="00CF5522"/>
    <w:rsid w:val="00D001F7"/>
    <w:rsid w:val="00D05321"/>
    <w:rsid w:val="00D11942"/>
    <w:rsid w:val="00D146EF"/>
    <w:rsid w:val="00D24FC1"/>
    <w:rsid w:val="00D2786E"/>
    <w:rsid w:val="00D34FF0"/>
    <w:rsid w:val="00D37673"/>
    <w:rsid w:val="00D40761"/>
    <w:rsid w:val="00D40E93"/>
    <w:rsid w:val="00D42CBC"/>
    <w:rsid w:val="00D43863"/>
    <w:rsid w:val="00D4571D"/>
    <w:rsid w:val="00D45D5A"/>
    <w:rsid w:val="00D47E1F"/>
    <w:rsid w:val="00D519E6"/>
    <w:rsid w:val="00D525C2"/>
    <w:rsid w:val="00D54185"/>
    <w:rsid w:val="00D5620B"/>
    <w:rsid w:val="00D622CD"/>
    <w:rsid w:val="00D6245E"/>
    <w:rsid w:val="00D626D6"/>
    <w:rsid w:val="00D62A05"/>
    <w:rsid w:val="00D635C4"/>
    <w:rsid w:val="00D71629"/>
    <w:rsid w:val="00D7166C"/>
    <w:rsid w:val="00D729AD"/>
    <w:rsid w:val="00D74440"/>
    <w:rsid w:val="00D77CFA"/>
    <w:rsid w:val="00D80CF4"/>
    <w:rsid w:val="00D87BE8"/>
    <w:rsid w:val="00D87E77"/>
    <w:rsid w:val="00D9214D"/>
    <w:rsid w:val="00D9257C"/>
    <w:rsid w:val="00D92992"/>
    <w:rsid w:val="00D9355A"/>
    <w:rsid w:val="00D952FE"/>
    <w:rsid w:val="00D954E5"/>
    <w:rsid w:val="00D956BD"/>
    <w:rsid w:val="00DA1E96"/>
    <w:rsid w:val="00DA5571"/>
    <w:rsid w:val="00DA5CEA"/>
    <w:rsid w:val="00DA68CC"/>
    <w:rsid w:val="00DA74C1"/>
    <w:rsid w:val="00DB0F1A"/>
    <w:rsid w:val="00DB1930"/>
    <w:rsid w:val="00DB4515"/>
    <w:rsid w:val="00DB5CF3"/>
    <w:rsid w:val="00DB639C"/>
    <w:rsid w:val="00DB7842"/>
    <w:rsid w:val="00DC0BE5"/>
    <w:rsid w:val="00DC1C4C"/>
    <w:rsid w:val="00DC3FFE"/>
    <w:rsid w:val="00DC45F5"/>
    <w:rsid w:val="00DC46FB"/>
    <w:rsid w:val="00DC4920"/>
    <w:rsid w:val="00DD7874"/>
    <w:rsid w:val="00DE0968"/>
    <w:rsid w:val="00DE0CBA"/>
    <w:rsid w:val="00DE3CB4"/>
    <w:rsid w:val="00DE557A"/>
    <w:rsid w:val="00DF064C"/>
    <w:rsid w:val="00DF1F37"/>
    <w:rsid w:val="00DF2AE1"/>
    <w:rsid w:val="00DF3453"/>
    <w:rsid w:val="00DF34C6"/>
    <w:rsid w:val="00DF3CF4"/>
    <w:rsid w:val="00DF7644"/>
    <w:rsid w:val="00E009E7"/>
    <w:rsid w:val="00E03186"/>
    <w:rsid w:val="00E06F0B"/>
    <w:rsid w:val="00E1595B"/>
    <w:rsid w:val="00E1667B"/>
    <w:rsid w:val="00E178C8"/>
    <w:rsid w:val="00E21DEC"/>
    <w:rsid w:val="00E22656"/>
    <w:rsid w:val="00E37A0E"/>
    <w:rsid w:val="00E4251A"/>
    <w:rsid w:val="00E441E5"/>
    <w:rsid w:val="00E47E34"/>
    <w:rsid w:val="00E47E72"/>
    <w:rsid w:val="00E522D1"/>
    <w:rsid w:val="00E523D6"/>
    <w:rsid w:val="00E531B9"/>
    <w:rsid w:val="00E54030"/>
    <w:rsid w:val="00E5408B"/>
    <w:rsid w:val="00E55EB8"/>
    <w:rsid w:val="00E709CE"/>
    <w:rsid w:val="00E70DB6"/>
    <w:rsid w:val="00E728E7"/>
    <w:rsid w:val="00E72FAF"/>
    <w:rsid w:val="00E73276"/>
    <w:rsid w:val="00E7642B"/>
    <w:rsid w:val="00E84645"/>
    <w:rsid w:val="00E851E9"/>
    <w:rsid w:val="00E86290"/>
    <w:rsid w:val="00E87503"/>
    <w:rsid w:val="00E90681"/>
    <w:rsid w:val="00E941D5"/>
    <w:rsid w:val="00E95454"/>
    <w:rsid w:val="00EA0F00"/>
    <w:rsid w:val="00EA1B19"/>
    <w:rsid w:val="00EA22BF"/>
    <w:rsid w:val="00EA31EB"/>
    <w:rsid w:val="00EA4321"/>
    <w:rsid w:val="00EA4EA9"/>
    <w:rsid w:val="00EB1B7F"/>
    <w:rsid w:val="00EB1CE5"/>
    <w:rsid w:val="00EB46FB"/>
    <w:rsid w:val="00EC0B94"/>
    <w:rsid w:val="00EC1EE2"/>
    <w:rsid w:val="00EC604E"/>
    <w:rsid w:val="00EC69ED"/>
    <w:rsid w:val="00EC7635"/>
    <w:rsid w:val="00ED4992"/>
    <w:rsid w:val="00EE002E"/>
    <w:rsid w:val="00EE010F"/>
    <w:rsid w:val="00EE1070"/>
    <w:rsid w:val="00EE3182"/>
    <w:rsid w:val="00EE3F95"/>
    <w:rsid w:val="00EE792C"/>
    <w:rsid w:val="00EE7B06"/>
    <w:rsid w:val="00EF0999"/>
    <w:rsid w:val="00EF5524"/>
    <w:rsid w:val="00EF5C21"/>
    <w:rsid w:val="00F00F90"/>
    <w:rsid w:val="00F02DFD"/>
    <w:rsid w:val="00F0403E"/>
    <w:rsid w:val="00F047BE"/>
    <w:rsid w:val="00F056CD"/>
    <w:rsid w:val="00F07848"/>
    <w:rsid w:val="00F07874"/>
    <w:rsid w:val="00F110FA"/>
    <w:rsid w:val="00F11C91"/>
    <w:rsid w:val="00F12A96"/>
    <w:rsid w:val="00F1494D"/>
    <w:rsid w:val="00F158CD"/>
    <w:rsid w:val="00F15D05"/>
    <w:rsid w:val="00F21009"/>
    <w:rsid w:val="00F244B9"/>
    <w:rsid w:val="00F26C30"/>
    <w:rsid w:val="00F26CDC"/>
    <w:rsid w:val="00F271FD"/>
    <w:rsid w:val="00F303CC"/>
    <w:rsid w:val="00F30509"/>
    <w:rsid w:val="00F32253"/>
    <w:rsid w:val="00F34934"/>
    <w:rsid w:val="00F4022A"/>
    <w:rsid w:val="00F44623"/>
    <w:rsid w:val="00F45A0F"/>
    <w:rsid w:val="00F50061"/>
    <w:rsid w:val="00F51891"/>
    <w:rsid w:val="00F51CC7"/>
    <w:rsid w:val="00F532F7"/>
    <w:rsid w:val="00F55040"/>
    <w:rsid w:val="00F55201"/>
    <w:rsid w:val="00F57002"/>
    <w:rsid w:val="00F57347"/>
    <w:rsid w:val="00F63872"/>
    <w:rsid w:val="00F63CD8"/>
    <w:rsid w:val="00F643E9"/>
    <w:rsid w:val="00F6469C"/>
    <w:rsid w:val="00F64D3A"/>
    <w:rsid w:val="00F653D3"/>
    <w:rsid w:val="00F65D34"/>
    <w:rsid w:val="00F70540"/>
    <w:rsid w:val="00F7254A"/>
    <w:rsid w:val="00F74448"/>
    <w:rsid w:val="00F74DBD"/>
    <w:rsid w:val="00F80850"/>
    <w:rsid w:val="00F812D9"/>
    <w:rsid w:val="00F84649"/>
    <w:rsid w:val="00F85F55"/>
    <w:rsid w:val="00F86CEE"/>
    <w:rsid w:val="00F94403"/>
    <w:rsid w:val="00F9580E"/>
    <w:rsid w:val="00F961E0"/>
    <w:rsid w:val="00F965FC"/>
    <w:rsid w:val="00F97180"/>
    <w:rsid w:val="00FA2461"/>
    <w:rsid w:val="00FA2564"/>
    <w:rsid w:val="00FA41AF"/>
    <w:rsid w:val="00FA45EF"/>
    <w:rsid w:val="00FA4D07"/>
    <w:rsid w:val="00FB74FD"/>
    <w:rsid w:val="00FC4D14"/>
    <w:rsid w:val="00FC51FA"/>
    <w:rsid w:val="00FC5AAD"/>
    <w:rsid w:val="00FD4007"/>
    <w:rsid w:val="00FE1223"/>
    <w:rsid w:val="00FE1D53"/>
    <w:rsid w:val="00FE2C63"/>
    <w:rsid w:val="00FE5C3D"/>
    <w:rsid w:val="00FE68CE"/>
    <w:rsid w:val="00FE77FA"/>
    <w:rsid w:val="00FF07AA"/>
    <w:rsid w:val="00FF2437"/>
    <w:rsid w:val="00FF3134"/>
    <w:rsid w:val="00FF3938"/>
    <w:rsid w:val="00FF479B"/>
    <w:rsid w:val="00FF57F3"/>
    <w:rsid w:val="00FF61EA"/>
    <w:rsid w:val="00FF73C1"/>
    <w:rsid w:val="011EEF9A"/>
    <w:rsid w:val="015A98C3"/>
    <w:rsid w:val="02804D49"/>
    <w:rsid w:val="043609EC"/>
    <w:rsid w:val="076E2726"/>
    <w:rsid w:val="0B05B823"/>
    <w:rsid w:val="0B07621D"/>
    <w:rsid w:val="0B777ACA"/>
    <w:rsid w:val="0C05A32C"/>
    <w:rsid w:val="0C467377"/>
    <w:rsid w:val="0C6743DC"/>
    <w:rsid w:val="0E2FE19A"/>
    <w:rsid w:val="0E437BC2"/>
    <w:rsid w:val="0E4675EA"/>
    <w:rsid w:val="0EC9AAFA"/>
    <w:rsid w:val="0F6A905E"/>
    <w:rsid w:val="1004CB82"/>
    <w:rsid w:val="12BD823F"/>
    <w:rsid w:val="1462E48D"/>
    <w:rsid w:val="1478C4F9"/>
    <w:rsid w:val="15431579"/>
    <w:rsid w:val="161D23F5"/>
    <w:rsid w:val="17B706B0"/>
    <w:rsid w:val="18BBAD4F"/>
    <w:rsid w:val="18DBDBA4"/>
    <w:rsid w:val="19A50B3E"/>
    <w:rsid w:val="1C854CED"/>
    <w:rsid w:val="1C85E78C"/>
    <w:rsid w:val="1CFB32D5"/>
    <w:rsid w:val="1D14D5D2"/>
    <w:rsid w:val="1D793B2D"/>
    <w:rsid w:val="1DE258DE"/>
    <w:rsid w:val="1F8297E6"/>
    <w:rsid w:val="202DE750"/>
    <w:rsid w:val="2033AF79"/>
    <w:rsid w:val="20A73BE1"/>
    <w:rsid w:val="213178DA"/>
    <w:rsid w:val="21C44AA6"/>
    <w:rsid w:val="21D68A08"/>
    <w:rsid w:val="21F42F8F"/>
    <w:rsid w:val="24BB586F"/>
    <w:rsid w:val="261FAF21"/>
    <w:rsid w:val="29013FC2"/>
    <w:rsid w:val="2A1A5D10"/>
    <w:rsid w:val="2A94E831"/>
    <w:rsid w:val="2BC39B73"/>
    <w:rsid w:val="2C3ACE6D"/>
    <w:rsid w:val="2CB89FA2"/>
    <w:rsid w:val="2EE1F78E"/>
    <w:rsid w:val="319458C7"/>
    <w:rsid w:val="31CBCC84"/>
    <w:rsid w:val="31D1C9AA"/>
    <w:rsid w:val="32E76458"/>
    <w:rsid w:val="34A2A333"/>
    <w:rsid w:val="34DD1BAD"/>
    <w:rsid w:val="35256E9D"/>
    <w:rsid w:val="3542C416"/>
    <w:rsid w:val="35BBF9E6"/>
    <w:rsid w:val="35E2F073"/>
    <w:rsid w:val="366C6D35"/>
    <w:rsid w:val="36D9094D"/>
    <w:rsid w:val="36F3C7AD"/>
    <w:rsid w:val="37F39029"/>
    <w:rsid w:val="384216FD"/>
    <w:rsid w:val="38D31868"/>
    <w:rsid w:val="38FD6A84"/>
    <w:rsid w:val="3945E3A9"/>
    <w:rsid w:val="3A28F97C"/>
    <w:rsid w:val="3A8614C6"/>
    <w:rsid w:val="3C82A757"/>
    <w:rsid w:val="3D46E658"/>
    <w:rsid w:val="3D870513"/>
    <w:rsid w:val="3E556EF5"/>
    <w:rsid w:val="3ECC3783"/>
    <w:rsid w:val="427309E6"/>
    <w:rsid w:val="43338BDC"/>
    <w:rsid w:val="43DB1FAB"/>
    <w:rsid w:val="48469E84"/>
    <w:rsid w:val="488E044D"/>
    <w:rsid w:val="492F95A6"/>
    <w:rsid w:val="493DDB49"/>
    <w:rsid w:val="4A19497C"/>
    <w:rsid w:val="4A5FBAB0"/>
    <w:rsid w:val="4B026A6C"/>
    <w:rsid w:val="4B0EAAFA"/>
    <w:rsid w:val="4B1F68A1"/>
    <w:rsid w:val="4B846AC4"/>
    <w:rsid w:val="4C1A8146"/>
    <w:rsid w:val="4EAE4361"/>
    <w:rsid w:val="4ECF9777"/>
    <w:rsid w:val="4EFB8890"/>
    <w:rsid w:val="4F36D990"/>
    <w:rsid w:val="4FE1D099"/>
    <w:rsid w:val="503A7C46"/>
    <w:rsid w:val="50A9058C"/>
    <w:rsid w:val="50FF4947"/>
    <w:rsid w:val="51BBC44D"/>
    <w:rsid w:val="5207BD5A"/>
    <w:rsid w:val="545FAEB2"/>
    <w:rsid w:val="54A81463"/>
    <w:rsid w:val="54B42C1E"/>
    <w:rsid w:val="56AC0321"/>
    <w:rsid w:val="5728B906"/>
    <w:rsid w:val="5750DD26"/>
    <w:rsid w:val="578AF232"/>
    <w:rsid w:val="585C5214"/>
    <w:rsid w:val="58A12F9D"/>
    <w:rsid w:val="597A2D24"/>
    <w:rsid w:val="59984450"/>
    <w:rsid w:val="5A62F1C0"/>
    <w:rsid w:val="5AD53A24"/>
    <w:rsid w:val="5B5A0D04"/>
    <w:rsid w:val="5B857CCB"/>
    <w:rsid w:val="5BB8A588"/>
    <w:rsid w:val="5BD8851E"/>
    <w:rsid w:val="5BF06B8D"/>
    <w:rsid w:val="5E2EFFF2"/>
    <w:rsid w:val="5F2E85BD"/>
    <w:rsid w:val="5F42E0C1"/>
    <w:rsid w:val="5F4D70E8"/>
    <w:rsid w:val="61EE655B"/>
    <w:rsid w:val="62CC6772"/>
    <w:rsid w:val="64330E5B"/>
    <w:rsid w:val="6463F999"/>
    <w:rsid w:val="653F65BF"/>
    <w:rsid w:val="664BA637"/>
    <w:rsid w:val="66DA0CF8"/>
    <w:rsid w:val="6735D2DD"/>
    <w:rsid w:val="67749B51"/>
    <w:rsid w:val="67D299DA"/>
    <w:rsid w:val="68BB47D6"/>
    <w:rsid w:val="6A12ADA2"/>
    <w:rsid w:val="6A557EAB"/>
    <w:rsid w:val="6AAB6A72"/>
    <w:rsid w:val="6CB8C776"/>
    <w:rsid w:val="6CCD9364"/>
    <w:rsid w:val="6DEFA73F"/>
    <w:rsid w:val="6EE69AE6"/>
    <w:rsid w:val="6FF290A9"/>
    <w:rsid w:val="710A3DDA"/>
    <w:rsid w:val="71AB339E"/>
    <w:rsid w:val="71B2D13B"/>
    <w:rsid w:val="72373B46"/>
    <w:rsid w:val="724014DF"/>
    <w:rsid w:val="727A6836"/>
    <w:rsid w:val="735C3AE5"/>
    <w:rsid w:val="73CC48DB"/>
    <w:rsid w:val="74498682"/>
    <w:rsid w:val="7536DBC7"/>
    <w:rsid w:val="75AB2324"/>
    <w:rsid w:val="7673E46A"/>
    <w:rsid w:val="772AFC07"/>
    <w:rsid w:val="772DEF9B"/>
    <w:rsid w:val="778D8754"/>
    <w:rsid w:val="779558BA"/>
    <w:rsid w:val="77DA8DDB"/>
    <w:rsid w:val="77F24643"/>
    <w:rsid w:val="77FEF0A9"/>
    <w:rsid w:val="78C53AD3"/>
    <w:rsid w:val="7940A10D"/>
    <w:rsid w:val="79C64BB8"/>
    <w:rsid w:val="7B3E7A5F"/>
    <w:rsid w:val="7B79E867"/>
    <w:rsid w:val="7C0E2678"/>
    <w:rsid w:val="7C22EF82"/>
    <w:rsid w:val="7C27F046"/>
    <w:rsid w:val="7E3E9003"/>
    <w:rsid w:val="7FB1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2BD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E7B06"/>
    <w:pPr>
      <w:spacing w:before="100" w:beforeAutospacing="1" w:after="100" w:afterAutospacing="1"/>
      <w:outlineLvl w:val="0"/>
    </w:pPr>
    <w:rPr>
      <w:rFonts w:ascii="Times" w:hAnsi="Times"/>
      <w:b/>
      <w:bCs/>
      <w:kern w:val="36"/>
      <w:sz w:val="48"/>
      <w:szCs w:val="48"/>
      <w:lang w:val="en-GB"/>
    </w:rPr>
  </w:style>
  <w:style w:type="paragraph" w:styleId="Titre2">
    <w:name w:val="heading 2"/>
    <w:basedOn w:val="Normal"/>
    <w:next w:val="Normal"/>
    <w:link w:val="Titre2Car"/>
    <w:uiPriority w:val="9"/>
    <w:unhideWhenUsed/>
    <w:qFormat/>
    <w:rsid w:val="007E2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25B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7874"/>
  </w:style>
  <w:style w:type="paragraph" w:styleId="NormalWeb">
    <w:name w:val="Normal (Web)"/>
    <w:basedOn w:val="Normal"/>
    <w:uiPriority w:val="99"/>
    <w:semiHidden/>
    <w:unhideWhenUsed/>
    <w:rsid w:val="00DD7874"/>
    <w:pPr>
      <w:spacing w:before="100" w:beforeAutospacing="1" w:after="100" w:afterAutospacing="1"/>
    </w:pPr>
    <w:rPr>
      <w:rFonts w:ascii="Times" w:hAnsi="Times" w:cs="Times New Roman"/>
      <w:lang w:val="en-GB"/>
    </w:rPr>
  </w:style>
  <w:style w:type="character" w:styleId="Marquedecommentaire">
    <w:name w:val="annotation reference"/>
    <w:basedOn w:val="Policepardfaut"/>
    <w:uiPriority w:val="99"/>
    <w:semiHidden/>
    <w:unhideWhenUsed/>
    <w:rsid w:val="0013248A"/>
    <w:rPr>
      <w:sz w:val="18"/>
      <w:szCs w:val="18"/>
    </w:rPr>
  </w:style>
  <w:style w:type="paragraph" w:styleId="Commentaire">
    <w:name w:val="annotation text"/>
    <w:basedOn w:val="Normal"/>
    <w:link w:val="CommentaireCar"/>
    <w:uiPriority w:val="99"/>
    <w:unhideWhenUsed/>
    <w:rsid w:val="0013248A"/>
    <w:rPr>
      <w:sz w:val="24"/>
      <w:szCs w:val="24"/>
    </w:rPr>
  </w:style>
  <w:style w:type="character" w:customStyle="1" w:styleId="CommentaireCar">
    <w:name w:val="Commentaire Car"/>
    <w:basedOn w:val="Policepardfaut"/>
    <w:link w:val="Commentaire"/>
    <w:uiPriority w:val="99"/>
    <w:rsid w:val="0013248A"/>
    <w:rPr>
      <w:sz w:val="24"/>
      <w:szCs w:val="24"/>
    </w:rPr>
  </w:style>
  <w:style w:type="paragraph" w:styleId="Textedebulles">
    <w:name w:val="Balloon Text"/>
    <w:basedOn w:val="Normal"/>
    <w:link w:val="TextedebullesCar"/>
    <w:uiPriority w:val="99"/>
    <w:semiHidden/>
    <w:unhideWhenUsed/>
    <w:rsid w:val="001324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248A"/>
    <w:rPr>
      <w:rFonts w:ascii="Lucida Grande" w:hAnsi="Lucida Grande" w:cs="Lucida Grande"/>
      <w:sz w:val="18"/>
      <w:szCs w:val="18"/>
    </w:rPr>
  </w:style>
  <w:style w:type="paragraph" w:styleId="Paragraphedeliste">
    <w:name w:val="List Paragraph"/>
    <w:basedOn w:val="Normal"/>
    <w:uiPriority w:val="34"/>
    <w:qFormat/>
    <w:rsid w:val="005F2398"/>
    <w:pPr>
      <w:ind w:left="720"/>
      <w:contextualSpacing/>
    </w:pPr>
  </w:style>
  <w:style w:type="paragraph" w:styleId="Notedebasdepage">
    <w:name w:val="footnote text"/>
    <w:basedOn w:val="Normal"/>
    <w:link w:val="NotedebasdepageCar"/>
    <w:uiPriority w:val="99"/>
    <w:unhideWhenUsed/>
    <w:rsid w:val="00C57F41"/>
    <w:rPr>
      <w:sz w:val="24"/>
      <w:szCs w:val="24"/>
    </w:rPr>
  </w:style>
  <w:style w:type="character" w:customStyle="1" w:styleId="NotedebasdepageCar">
    <w:name w:val="Note de bas de page Car"/>
    <w:basedOn w:val="Policepardfaut"/>
    <w:link w:val="Notedebasdepage"/>
    <w:uiPriority w:val="99"/>
    <w:rsid w:val="00C57F41"/>
    <w:rPr>
      <w:sz w:val="24"/>
      <w:szCs w:val="24"/>
    </w:rPr>
  </w:style>
  <w:style w:type="character" w:styleId="Appelnotedebasdep">
    <w:name w:val="footnote reference"/>
    <w:basedOn w:val="Policepardfaut"/>
    <w:uiPriority w:val="99"/>
    <w:unhideWhenUsed/>
    <w:rsid w:val="00C57F41"/>
    <w:rPr>
      <w:vertAlign w:val="superscript"/>
    </w:rPr>
  </w:style>
  <w:style w:type="character" w:styleId="Lienhypertexte">
    <w:name w:val="Hyperlink"/>
    <w:basedOn w:val="Policepardfaut"/>
    <w:uiPriority w:val="99"/>
    <w:unhideWhenUsed/>
    <w:rsid w:val="008112D8"/>
    <w:rPr>
      <w:color w:val="0000FF" w:themeColor="hyperlink"/>
      <w:u w:val="single"/>
    </w:rPr>
  </w:style>
  <w:style w:type="character" w:customStyle="1" w:styleId="Titre1Car">
    <w:name w:val="Titre 1 Car"/>
    <w:basedOn w:val="Policepardfaut"/>
    <w:link w:val="Titre1"/>
    <w:uiPriority w:val="9"/>
    <w:rsid w:val="00EE7B06"/>
    <w:rPr>
      <w:rFonts w:ascii="Times" w:hAnsi="Times"/>
      <w:b/>
      <w:bCs/>
      <w:kern w:val="36"/>
      <w:sz w:val="48"/>
      <w:szCs w:val="48"/>
      <w:lang w:val="en-GB"/>
    </w:rPr>
  </w:style>
  <w:style w:type="paragraph" w:styleId="En-tte">
    <w:name w:val="header"/>
    <w:basedOn w:val="Normal"/>
    <w:link w:val="En-tteCar"/>
    <w:uiPriority w:val="99"/>
    <w:unhideWhenUsed/>
    <w:rsid w:val="004A0D78"/>
    <w:pPr>
      <w:tabs>
        <w:tab w:val="center" w:pos="4320"/>
        <w:tab w:val="right" w:pos="8640"/>
      </w:tabs>
    </w:pPr>
  </w:style>
  <w:style w:type="character" w:customStyle="1" w:styleId="En-tteCar">
    <w:name w:val="En-tête Car"/>
    <w:basedOn w:val="Policepardfaut"/>
    <w:link w:val="En-tte"/>
    <w:uiPriority w:val="99"/>
    <w:rsid w:val="004A0D78"/>
  </w:style>
  <w:style w:type="paragraph" w:styleId="Pieddepage">
    <w:name w:val="footer"/>
    <w:basedOn w:val="Normal"/>
    <w:link w:val="PieddepageCar"/>
    <w:uiPriority w:val="99"/>
    <w:unhideWhenUsed/>
    <w:rsid w:val="004A0D78"/>
    <w:pPr>
      <w:tabs>
        <w:tab w:val="center" w:pos="4320"/>
        <w:tab w:val="right" w:pos="8640"/>
      </w:tabs>
    </w:pPr>
  </w:style>
  <w:style w:type="character" w:customStyle="1" w:styleId="PieddepageCar">
    <w:name w:val="Pied de page Car"/>
    <w:basedOn w:val="Policepardfaut"/>
    <w:link w:val="Pieddepage"/>
    <w:uiPriority w:val="99"/>
    <w:rsid w:val="004A0D78"/>
  </w:style>
  <w:style w:type="paragraph" w:styleId="Objetducommentaire">
    <w:name w:val="annotation subject"/>
    <w:basedOn w:val="Commentaire"/>
    <w:next w:val="Commentaire"/>
    <w:link w:val="ObjetducommentaireCar"/>
    <w:uiPriority w:val="99"/>
    <w:semiHidden/>
    <w:unhideWhenUsed/>
    <w:rsid w:val="00637455"/>
    <w:rPr>
      <w:b/>
      <w:bCs/>
      <w:sz w:val="20"/>
      <w:szCs w:val="20"/>
    </w:rPr>
  </w:style>
  <w:style w:type="character" w:customStyle="1" w:styleId="ObjetducommentaireCar">
    <w:name w:val="Objet du commentaire Car"/>
    <w:basedOn w:val="CommentaireCar"/>
    <w:link w:val="Objetducommentaire"/>
    <w:uiPriority w:val="99"/>
    <w:semiHidden/>
    <w:rsid w:val="00637455"/>
    <w:rPr>
      <w:b/>
      <w:bCs/>
      <w:sz w:val="24"/>
      <w:szCs w:val="24"/>
    </w:rPr>
  </w:style>
  <w:style w:type="table" w:styleId="Grilledutableau">
    <w:name w:val="Table Grid"/>
    <w:basedOn w:val="TableauNormal"/>
    <w:uiPriority w:val="59"/>
    <w:rsid w:val="00F74DBD"/>
    <w:rPr>
      <w:rFonts w:asciiTheme="minorHAnsi" w:eastAsiaTheme="minorHAnsi" w:hAnsiTheme="minorHAns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C3924"/>
  </w:style>
  <w:style w:type="character" w:customStyle="1" w:styleId="A10">
    <w:name w:val="A10"/>
    <w:uiPriority w:val="99"/>
    <w:rsid w:val="00497FAC"/>
    <w:rPr>
      <w:rFonts w:cs="CharterITC"/>
      <w:color w:val="000000"/>
      <w:sz w:val="11"/>
      <w:szCs w:val="11"/>
    </w:rPr>
  </w:style>
  <w:style w:type="paragraph" w:customStyle="1" w:styleId="Default">
    <w:name w:val="Default"/>
    <w:rsid w:val="00497FAC"/>
    <w:pPr>
      <w:autoSpaceDE w:val="0"/>
      <w:autoSpaceDN w:val="0"/>
      <w:adjustRightInd w:val="0"/>
    </w:pPr>
    <w:rPr>
      <w:rFonts w:ascii="CharterITC" w:hAnsi="CharterITC" w:cs="CharterITC"/>
      <w:color w:val="000000"/>
      <w:sz w:val="24"/>
      <w:szCs w:val="24"/>
      <w:lang w:val="fr-FR"/>
    </w:rPr>
  </w:style>
  <w:style w:type="character" w:customStyle="1" w:styleId="A9">
    <w:name w:val="A9"/>
    <w:uiPriority w:val="99"/>
    <w:rsid w:val="00497FAC"/>
    <w:rPr>
      <w:rFonts w:cs="CharterITC"/>
      <w:color w:val="000000"/>
      <w:sz w:val="19"/>
      <w:szCs w:val="19"/>
    </w:rPr>
  </w:style>
  <w:style w:type="paragraph" w:customStyle="1" w:styleId="Pa9">
    <w:name w:val="Pa9"/>
    <w:basedOn w:val="Default"/>
    <w:next w:val="Default"/>
    <w:uiPriority w:val="99"/>
    <w:rsid w:val="00497FAC"/>
    <w:pPr>
      <w:spacing w:line="191" w:lineRule="atLeast"/>
    </w:pPr>
    <w:rPr>
      <w:rFonts w:cstheme="minorBidi"/>
      <w:color w:val="auto"/>
    </w:rPr>
  </w:style>
  <w:style w:type="character" w:styleId="lev">
    <w:name w:val="Strong"/>
    <w:basedOn w:val="Policepardfaut"/>
    <w:uiPriority w:val="22"/>
    <w:qFormat/>
    <w:rsid w:val="00B31716"/>
    <w:rPr>
      <w:b/>
      <w:bCs/>
    </w:rPr>
  </w:style>
  <w:style w:type="paragraph" w:customStyle="1" w:styleId="Pa14">
    <w:name w:val="Pa14"/>
    <w:basedOn w:val="Normal"/>
    <w:next w:val="Normal"/>
    <w:uiPriority w:val="99"/>
    <w:rsid w:val="001F4768"/>
    <w:pPr>
      <w:autoSpaceDE w:val="0"/>
      <w:autoSpaceDN w:val="0"/>
      <w:adjustRightInd w:val="0"/>
      <w:spacing w:line="191" w:lineRule="atLeast"/>
    </w:pPr>
    <w:rPr>
      <w:rFonts w:ascii="CharterITC" w:eastAsiaTheme="minorHAnsi" w:hAnsi="CharterITC"/>
      <w:sz w:val="24"/>
      <w:szCs w:val="24"/>
      <w:lang w:val="fr-FR"/>
    </w:rPr>
  </w:style>
  <w:style w:type="character" w:customStyle="1" w:styleId="A12">
    <w:name w:val="A12"/>
    <w:uiPriority w:val="99"/>
    <w:rsid w:val="001F4768"/>
    <w:rPr>
      <w:rFonts w:cs="CharterITC"/>
      <w:color w:val="000000"/>
      <w:sz w:val="11"/>
      <w:szCs w:val="11"/>
    </w:rPr>
  </w:style>
  <w:style w:type="character" w:styleId="Accentuation">
    <w:name w:val="Emphasis"/>
    <w:basedOn w:val="Policepardfaut"/>
    <w:uiPriority w:val="20"/>
    <w:qFormat/>
    <w:rsid w:val="001F4768"/>
    <w:rPr>
      <w:i/>
      <w:iCs/>
    </w:rPr>
  </w:style>
  <w:style w:type="table" w:customStyle="1" w:styleId="Grilledutableau1">
    <w:name w:val="Grille du tableau1"/>
    <w:basedOn w:val="TableauNormal"/>
    <w:next w:val="Grilledutableau"/>
    <w:uiPriority w:val="59"/>
    <w:rsid w:val="002F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ext">
    <w:name w:val="Tx Text"/>
    <w:link w:val="TxTextChar"/>
    <w:rsid w:val="00CC55B8"/>
    <w:pPr>
      <w:spacing w:line="560" w:lineRule="exact"/>
      <w:ind w:firstLine="720"/>
    </w:pPr>
    <w:rPr>
      <w:rFonts w:ascii="Times New Roman" w:eastAsia="Times New Roman" w:hAnsi="Times New Roman" w:cs="Times New Roman"/>
      <w:sz w:val="24"/>
    </w:rPr>
  </w:style>
  <w:style w:type="character" w:customStyle="1" w:styleId="TxTextChar">
    <w:name w:val="Tx Text Char"/>
    <w:link w:val="TxText"/>
    <w:rsid w:val="00CC55B8"/>
    <w:rPr>
      <w:rFonts w:ascii="Times New Roman" w:eastAsia="Times New Roman" w:hAnsi="Times New Roman" w:cs="Times New Roman"/>
      <w:sz w:val="24"/>
    </w:rPr>
  </w:style>
  <w:style w:type="character" w:customStyle="1" w:styleId="Titre2Car">
    <w:name w:val="Titre 2 Car"/>
    <w:basedOn w:val="Policepardfaut"/>
    <w:link w:val="Titre2"/>
    <w:uiPriority w:val="9"/>
    <w:rsid w:val="007E25B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E25B7"/>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AA313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fr-FR" w:eastAsia="fr-FR"/>
    </w:rPr>
  </w:style>
  <w:style w:type="paragraph" w:styleId="TM1">
    <w:name w:val="toc 1"/>
    <w:basedOn w:val="Normal"/>
    <w:next w:val="Normal"/>
    <w:autoRedefine/>
    <w:uiPriority w:val="39"/>
    <w:unhideWhenUsed/>
    <w:rsid w:val="00AA3134"/>
    <w:pPr>
      <w:spacing w:after="100"/>
    </w:pPr>
  </w:style>
  <w:style w:type="paragraph" w:styleId="TM2">
    <w:name w:val="toc 2"/>
    <w:basedOn w:val="Normal"/>
    <w:next w:val="Normal"/>
    <w:autoRedefine/>
    <w:uiPriority w:val="39"/>
    <w:unhideWhenUsed/>
    <w:rsid w:val="00AA3134"/>
    <w:pPr>
      <w:spacing w:after="100"/>
      <w:ind w:left="200"/>
    </w:pPr>
  </w:style>
  <w:style w:type="paragraph" w:styleId="TM3">
    <w:name w:val="toc 3"/>
    <w:basedOn w:val="Normal"/>
    <w:next w:val="Normal"/>
    <w:autoRedefine/>
    <w:uiPriority w:val="39"/>
    <w:unhideWhenUsed/>
    <w:rsid w:val="00AA3134"/>
    <w:pPr>
      <w:spacing w:after="100"/>
      <w:ind w:left="400"/>
    </w:pPr>
  </w:style>
  <w:style w:type="character" w:customStyle="1" w:styleId="doi">
    <w:name w:val="doi"/>
    <w:basedOn w:val="Policepardfaut"/>
    <w:rsid w:val="00184CBC"/>
  </w:style>
  <w:style w:type="paragraph" w:styleId="z-Hautduformulaire">
    <w:name w:val="HTML Top of Form"/>
    <w:basedOn w:val="Normal"/>
    <w:next w:val="Normal"/>
    <w:link w:val="z-HautduformulaireCar"/>
    <w:hidden/>
    <w:uiPriority w:val="99"/>
    <w:semiHidden/>
    <w:unhideWhenUsed/>
    <w:rsid w:val="00184CBC"/>
    <w:pPr>
      <w:pBdr>
        <w:bottom w:val="single" w:sz="6" w:space="1" w:color="auto"/>
      </w:pBdr>
      <w:jc w:val="center"/>
    </w:pPr>
    <w:rPr>
      <w:rFonts w:eastAsia="Times New Roman"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184CBC"/>
    <w:rPr>
      <w:rFonts w:eastAsia="Times New Roman" w:cs="Arial"/>
      <w:vanish/>
      <w:sz w:val="16"/>
      <w:szCs w:val="16"/>
      <w:lang w:val="fr-FR" w:eastAsia="fr-FR"/>
    </w:rPr>
  </w:style>
  <w:style w:type="character" w:customStyle="1" w:styleId="article-headermeta-info-label">
    <w:name w:val="article-header__meta-info-label"/>
    <w:basedOn w:val="Policepardfaut"/>
    <w:rsid w:val="00184CBC"/>
  </w:style>
  <w:style w:type="character" w:customStyle="1" w:styleId="article-headermeta-info-data">
    <w:name w:val="article-header__meta-info-data"/>
    <w:basedOn w:val="Policepardfaut"/>
    <w:rsid w:val="00184CBC"/>
  </w:style>
  <w:style w:type="character" w:styleId="Lienhypertextesuivivisit">
    <w:name w:val="FollowedHyperlink"/>
    <w:basedOn w:val="Policepardfaut"/>
    <w:uiPriority w:val="99"/>
    <w:semiHidden/>
    <w:unhideWhenUsed/>
    <w:rsid w:val="00DB1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5">
      <w:bodyDiv w:val="1"/>
      <w:marLeft w:val="0"/>
      <w:marRight w:val="0"/>
      <w:marTop w:val="0"/>
      <w:marBottom w:val="0"/>
      <w:divBdr>
        <w:top w:val="none" w:sz="0" w:space="0" w:color="auto"/>
        <w:left w:val="none" w:sz="0" w:space="0" w:color="auto"/>
        <w:bottom w:val="none" w:sz="0" w:space="0" w:color="auto"/>
        <w:right w:val="none" w:sz="0" w:space="0" w:color="auto"/>
      </w:divBdr>
      <w:divsChild>
        <w:div w:id="1934778183">
          <w:marLeft w:val="0"/>
          <w:marRight w:val="0"/>
          <w:marTop w:val="0"/>
          <w:marBottom w:val="0"/>
          <w:divBdr>
            <w:top w:val="none" w:sz="0" w:space="0" w:color="auto"/>
            <w:left w:val="none" w:sz="0" w:space="0" w:color="auto"/>
            <w:bottom w:val="none" w:sz="0" w:space="0" w:color="auto"/>
            <w:right w:val="none" w:sz="0" w:space="0" w:color="auto"/>
          </w:divBdr>
        </w:div>
        <w:div w:id="1168330594">
          <w:marLeft w:val="0"/>
          <w:marRight w:val="0"/>
          <w:marTop w:val="0"/>
          <w:marBottom w:val="0"/>
          <w:divBdr>
            <w:top w:val="none" w:sz="0" w:space="0" w:color="auto"/>
            <w:left w:val="none" w:sz="0" w:space="0" w:color="auto"/>
            <w:bottom w:val="none" w:sz="0" w:space="0" w:color="auto"/>
            <w:right w:val="none" w:sz="0" w:space="0" w:color="auto"/>
          </w:divBdr>
        </w:div>
      </w:divsChild>
    </w:div>
    <w:div w:id="116877116">
      <w:bodyDiv w:val="1"/>
      <w:marLeft w:val="0"/>
      <w:marRight w:val="0"/>
      <w:marTop w:val="0"/>
      <w:marBottom w:val="0"/>
      <w:divBdr>
        <w:top w:val="none" w:sz="0" w:space="0" w:color="auto"/>
        <w:left w:val="none" w:sz="0" w:space="0" w:color="auto"/>
        <w:bottom w:val="none" w:sz="0" w:space="0" w:color="auto"/>
        <w:right w:val="none" w:sz="0" w:space="0" w:color="auto"/>
      </w:divBdr>
    </w:div>
    <w:div w:id="225142541">
      <w:bodyDiv w:val="1"/>
      <w:marLeft w:val="0"/>
      <w:marRight w:val="0"/>
      <w:marTop w:val="0"/>
      <w:marBottom w:val="0"/>
      <w:divBdr>
        <w:top w:val="none" w:sz="0" w:space="0" w:color="auto"/>
        <w:left w:val="none" w:sz="0" w:space="0" w:color="auto"/>
        <w:bottom w:val="none" w:sz="0" w:space="0" w:color="auto"/>
        <w:right w:val="none" w:sz="0" w:space="0" w:color="auto"/>
      </w:divBdr>
    </w:div>
    <w:div w:id="230627530">
      <w:bodyDiv w:val="1"/>
      <w:marLeft w:val="0"/>
      <w:marRight w:val="0"/>
      <w:marTop w:val="0"/>
      <w:marBottom w:val="0"/>
      <w:divBdr>
        <w:top w:val="none" w:sz="0" w:space="0" w:color="auto"/>
        <w:left w:val="none" w:sz="0" w:space="0" w:color="auto"/>
        <w:bottom w:val="none" w:sz="0" w:space="0" w:color="auto"/>
        <w:right w:val="none" w:sz="0" w:space="0" w:color="auto"/>
      </w:divBdr>
    </w:div>
    <w:div w:id="265234117">
      <w:bodyDiv w:val="1"/>
      <w:marLeft w:val="0"/>
      <w:marRight w:val="0"/>
      <w:marTop w:val="0"/>
      <w:marBottom w:val="0"/>
      <w:divBdr>
        <w:top w:val="none" w:sz="0" w:space="0" w:color="auto"/>
        <w:left w:val="none" w:sz="0" w:space="0" w:color="auto"/>
        <w:bottom w:val="none" w:sz="0" w:space="0" w:color="auto"/>
        <w:right w:val="none" w:sz="0" w:space="0" w:color="auto"/>
      </w:divBdr>
    </w:div>
    <w:div w:id="339546814">
      <w:bodyDiv w:val="1"/>
      <w:marLeft w:val="0"/>
      <w:marRight w:val="0"/>
      <w:marTop w:val="0"/>
      <w:marBottom w:val="0"/>
      <w:divBdr>
        <w:top w:val="none" w:sz="0" w:space="0" w:color="auto"/>
        <w:left w:val="none" w:sz="0" w:space="0" w:color="auto"/>
        <w:bottom w:val="none" w:sz="0" w:space="0" w:color="auto"/>
        <w:right w:val="none" w:sz="0" w:space="0" w:color="auto"/>
      </w:divBdr>
    </w:div>
    <w:div w:id="394280634">
      <w:bodyDiv w:val="1"/>
      <w:marLeft w:val="0"/>
      <w:marRight w:val="0"/>
      <w:marTop w:val="0"/>
      <w:marBottom w:val="0"/>
      <w:divBdr>
        <w:top w:val="none" w:sz="0" w:space="0" w:color="auto"/>
        <w:left w:val="none" w:sz="0" w:space="0" w:color="auto"/>
        <w:bottom w:val="none" w:sz="0" w:space="0" w:color="auto"/>
        <w:right w:val="none" w:sz="0" w:space="0" w:color="auto"/>
      </w:divBdr>
    </w:div>
    <w:div w:id="399207939">
      <w:bodyDiv w:val="1"/>
      <w:marLeft w:val="0"/>
      <w:marRight w:val="0"/>
      <w:marTop w:val="0"/>
      <w:marBottom w:val="0"/>
      <w:divBdr>
        <w:top w:val="none" w:sz="0" w:space="0" w:color="auto"/>
        <w:left w:val="none" w:sz="0" w:space="0" w:color="auto"/>
        <w:bottom w:val="none" w:sz="0" w:space="0" w:color="auto"/>
        <w:right w:val="none" w:sz="0" w:space="0" w:color="auto"/>
      </w:divBdr>
    </w:div>
    <w:div w:id="403644399">
      <w:bodyDiv w:val="1"/>
      <w:marLeft w:val="0"/>
      <w:marRight w:val="0"/>
      <w:marTop w:val="0"/>
      <w:marBottom w:val="0"/>
      <w:divBdr>
        <w:top w:val="none" w:sz="0" w:space="0" w:color="auto"/>
        <w:left w:val="none" w:sz="0" w:space="0" w:color="auto"/>
        <w:bottom w:val="none" w:sz="0" w:space="0" w:color="auto"/>
        <w:right w:val="none" w:sz="0" w:space="0" w:color="auto"/>
      </w:divBdr>
      <w:divsChild>
        <w:div w:id="1305888920">
          <w:marLeft w:val="0"/>
          <w:marRight w:val="0"/>
          <w:marTop w:val="0"/>
          <w:marBottom w:val="0"/>
          <w:divBdr>
            <w:top w:val="none" w:sz="0" w:space="0" w:color="auto"/>
            <w:left w:val="none" w:sz="0" w:space="0" w:color="auto"/>
            <w:bottom w:val="none" w:sz="0" w:space="0" w:color="auto"/>
            <w:right w:val="none" w:sz="0" w:space="0" w:color="auto"/>
          </w:divBdr>
        </w:div>
      </w:divsChild>
    </w:div>
    <w:div w:id="423453341">
      <w:bodyDiv w:val="1"/>
      <w:marLeft w:val="0"/>
      <w:marRight w:val="0"/>
      <w:marTop w:val="0"/>
      <w:marBottom w:val="0"/>
      <w:divBdr>
        <w:top w:val="none" w:sz="0" w:space="0" w:color="auto"/>
        <w:left w:val="none" w:sz="0" w:space="0" w:color="auto"/>
        <w:bottom w:val="none" w:sz="0" w:space="0" w:color="auto"/>
        <w:right w:val="none" w:sz="0" w:space="0" w:color="auto"/>
      </w:divBdr>
    </w:div>
    <w:div w:id="431049601">
      <w:bodyDiv w:val="1"/>
      <w:marLeft w:val="0"/>
      <w:marRight w:val="0"/>
      <w:marTop w:val="0"/>
      <w:marBottom w:val="0"/>
      <w:divBdr>
        <w:top w:val="none" w:sz="0" w:space="0" w:color="auto"/>
        <w:left w:val="none" w:sz="0" w:space="0" w:color="auto"/>
        <w:bottom w:val="none" w:sz="0" w:space="0" w:color="auto"/>
        <w:right w:val="none" w:sz="0" w:space="0" w:color="auto"/>
      </w:divBdr>
    </w:div>
    <w:div w:id="456919455">
      <w:bodyDiv w:val="1"/>
      <w:marLeft w:val="0"/>
      <w:marRight w:val="0"/>
      <w:marTop w:val="0"/>
      <w:marBottom w:val="0"/>
      <w:divBdr>
        <w:top w:val="none" w:sz="0" w:space="0" w:color="auto"/>
        <w:left w:val="none" w:sz="0" w:space="0" w:color="auto"/>
        <w:bottom w:val="none" w:sz="0" w:space="0" w:color="auto"/>
        <w:right w:val="none" w:sz="0" w:space="0" w:color="auto"/>
      </w:divBdr>
      <w:divsChild>
        <w:div w:id="1222329740">
          <w:marLeft w:val="0"/>
          <w:marRight w:val="0"/>
          <w:marTop w:val="0"/>
          <w:marBottom w:val="0"/>
          <w:divBdr>
            <w:top w:val="none" w:sz="0" w:space="0" w:color="auto"/>
            <w:left w:val="none" w:sz="0" w:space="0" w:color="auto"/>
            <w:bottom w:val="none" w:sz="0" w:space="0" w:color="auto"/>
            <w:right w:val="none" w:sz="0" w:space="0" w:color="auto"/>
          </w:divBdr>
        </w:div>
        <w:div w:id="385183532">
          <w:marLeft w:val="0"/>
          <w:marRight w:val="0"/>
          <w:marTop w:val="0"/>
          <w:marBottom w:val="0"/>
          <w:divBdr>
            <w:top w:val="none" w:sz="0" w:space="0" w:color="auto"/>
            <w:left w:val="none" w:sz="0" w:space="0" w:color="auto"/>
            <w:bottom w:val="none" w:sz="0" w:space="0" w:color="auto"/>
            <w:right w:val="none" w:sz="0" w:space="0" w:color="auto"/>
          </w:divBdr>
        </w:div>
      </w:divsChild>
    </w:div>
    <w:div w:id="556283427">
      <w:bodyDiv w:val="1"/>
      <w:marLeft w:val="0"/>
      <w:marRight w:val="0"/>
      <w:marTop w:val="0"/>
      <w:marBottom w:val="0"/>
      <w:divBdr>
        <w:top w:val="none" w:sz="0" w:space="0" w:color="auto"/>
        <w:left w:val="none" w:sz="0" w:space="0" w:color="auto"/>
        <w:bottom w:val="none" w:sz="0" w:space="0" w:color="auto"/>
        <w:right w:val="none" w:sz="0" w:space="0" w:color="auto"/>
      </w:divBdr>
      <w:divsChild>
        <w:div w:id="1196844470">
          <w:marLeft w:val="0"/>
          <w:marRight w:val="0"/>
          <w:marTop w:val="0"/>
          <w:marBottom w:val="0"/>
          <w:divBdr>
            <w:top w:val="none" w:sz="0" w:space="0" w:color="auto"/>
            <w:left w:val="none" w:sz="0" w:space="0" w:color="auto"/>
            <w:bottom w:val="none" w:sz="0" w:space="0" w:color="auto"/>
            <w:right w:val="none" w:sz="0" w:space="0" w:color="auto"/>
          </w:divBdr>
          <w:divsChild>
            <w:div w:id="15126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55">
      <w:bodyDiv w:val="1"/>
      <w:marLeft w:val="0"/>
      <w:marRight w:val="0"/>
      <w:marTop w:val="0"/>
      <w:marBottom w:val="0"/>
      <w:divBdr>
        <w:top w:val="none" w:sz="0" w:space="0" w:color="auto"/>
        <w:left w:val="none" w:sz="0" w:space="0" w:color="auto"/>
        <w:bottom w:val="none" w:sz="0" w:space="0" w:color="auto"/>
        <w:right w:val="none" w:sz="0" w:space="0" w:color="auto"/>
      </w:divBdr>
    </w:div>
    <w:div w:id="657344017">
      <w:bodyDiv w:val="1"/>
      <w:marLeft w:val="0"/>
      <w:marRight w:val="0"/>
      <w:marTop w:val="0"/>
      <w:marBottom w:val="0"/>
      <w:divBdr>
        <w:top w:val="none" w:sz="0" w:space="0" w:color="auto"/>
        <w:left w:val="none" w:sz="0" w:space="0" w:color="auto"/>
        <w:bottom w:val="none" w:sz="0" w:space="0" w:color="auto"/>
        <w:right w:val="none" w:sz="0" w:space="0" w:color="auto"/>
      </w:divBdr>
    </w:div>
    <w:div w:id="668563221">
      <w:bodyDiv w:val="1"/>
      <w:marLeft w:val="0"/>
      <w:marRight w:val="0"/>
      <w:marTop w:val="0"/>
      <w:marBottom w:val="0"/>
      <w:divBdr>
        <w:top w:val="none" w:sz="0" w:space="0" w:color="auto"/>
        <w:left w:val="none" w:sz="0" w:space="0" w:color="auto"/>
        <w:bottom w:val="none" w:sz="0" w:space="0" w:color="auto"/>
        <w:right w:val="none" w:sz="0" w:space="0" w:color="auto"/>
      </w:divBdr>
    </w:div>
    <w:div w:id="691540088">
      <w:bodyDiv w:val="1"/>
      <w:marLeft w:val="0"/>
      <w:marRight w:val="0"/>
      <w:marTop w:val="0"/>
      <w:marBottom w:val="0"/>
      <w:divBdr>
        <w:top w:val="none" w:sz="0" w:space="0" w:color="auto"/>
        <w:left w:val="none" w:sz="0" w:space="0" w:color="auto"/>
        <w:bottom w:val="none" w:sz="0" w:space="0" w:color="auto"/>
        <w:right w:val="none" w:sz="0" w:space="0" w:color="auto"/>
      </w:divBdr>
    </w:div>
    <w:div w:id="697466284">
      <w:bodyDiv w:val="1"/>
      <w:marLeft w:val="0"/>
      <w:marRight w:val="0"/>
      <w:marTop w:val="0"/>
      <w:marBottom w:val="0"/>
      <w:divBdr>
        <w:top w:val="none" w:sz="0" w:space="0" w:color="auto"/>
        <w:left w:val="none" w:sz="0" w:space="0" w:color="auto"/>
        <w:bottom w:val="none" w:sz="0" w:space="0" w:color="auto"/>
        <w:right w:val="none" w:sz="0" w:space="0" w:color="auto"/>
      </w:divBdr>
    </w:div>
    <w:div w:id="733553623">
      <w:bodyDiv w:val="1"/>
      <w:marLeft w:val="0"/>
      <w:marRight w:val="0"/>
      <w:marTop w:val="0"/>
      <w:marBottom w:val="0"/>
      <w:divBdr>
        <w:top w:val="none" w:sz="0" w:space="0" w:color="auto"/>
        <w:left w:val="none" w:sz="0" w:space="0" w:color="auto"/>
        <w:bottom w:val="none" w:sz="0" w:space="0" w:color="auto"/>
        <w:right w:val="none" w:sz="0" w:space="0" w:color="auto"/>
      </w:divBdr>
    </w:div>
    <w:div w:id="756436412">
      <w:bodyDiv w:val="1"/>
      <w:marLeft w:val="0"/>
      <w:marRight w:val="0"/>
      <w:marTop w:val="0"/>
      <w:marBottom w:val="0"/>
      <w:divBdr>
        <w:top w:val="none" w:sz="0" w:space="0" w:color="auto"/>
        <w:left w:val="none" w:sz="0" w:space="0" w:color="auto"/>
        <w:bottom w:val="none" w:sz="0" w:space="0" w:color="auto"/>
        <w:right w:val="none" w:sz="0" w:space="0" w:color="auto"/>
      </w:divBdr>
    </w:div>
    <w:div w:id="762453735">
      <w:bodyDiv w:val="1"/>
      <w:marLeft w:val="0"/>
      <w:marRight w:val="0"/>
      <w:marTop w:val="0"/>
      <w:marBottom w:val="0"/>
      <w:divBdr>
        <w:top w:val="none" w:sz="0" w:space="0" w:color="auto"/>
        <w:left w:val="none" w:sz="0" w:space="0" w:color="auto"/>
        <w:bottom w:val="none" w:sz="0" w:space="0" w:color="auto"/>
        <w:right w:val="none" w:sz="0" w:space="0" w:color="auto"/>
      </w:divBdr>
    </w:div>
    <w:div w:id="827096093">
      <w:bodyDiv w:val="1"/>
      <w:marLeft w:val="0"/>
      <w:marRight w:val="0"/>
      <w:marTop w:val="0"/>
      <w:marBottom w:val="0"/>
      <w:divBdr>
        <w:top w:val="none" w:sz="0" w:space="0" w:color="auto"/>
        <w:left w:val="none" w:sz="0" w:space="0" w:color="auto"/>
        <w:bottom w:val="none" w:sz="0" w:space="0" w:color="auto"/>
        <w:right w:val="none" w:sz="0" w:space="0" w:color="auto"/>
      </w:divBdr>
    </w:div>
    <w:div w:id="832719692">
      <w:bodyDiv w:val="1"/>
      <w:marLeft w:val="0"/>
      <w:marRight w:val="0"/>
      <w:marTop w:val="0"/>
      <w:marBottom w:val="0"/>
      <w:divBdr>
        <w:top w:val="none" w:sz="0" w:space="0" w:color="auto"/>
        <w:left w:val="none" w:sz="0" w:space="0" w:color="auto"/>
        <w:bottom w:val="none" w:sz="0" w:space="0" w:color="auto"/>
        <w:right w:val="none" w:sz="0" w:space="0" w:color="auto"/>
      </w:divBdr>
    </w:div>
    <w:div w:id="841504358">
      <w:bodyDiv w:val="1"/>
      <w:marLeft w:val="0"/>
      <w:marRight w:val="0"/>
      <w:marTop w:val="0"/>
      <w:marBottom w:val="0"/>
      <w:divBdr>
        <w:top w:val="none" w:sz="0" w:space="0" w:color="auto"/>
        <w:left w:val="none" w:sz="0" w:space="0" w:color="auto"/>
        <w:bottom w:val="none" w:sz="0" w:space="0" w:color="auto"/>
        <w:right w:val="none" w:sz="0" w:space="0" w:color="auto"/>
      </w:divBdr>
    </w:div>
    <w:div w:id="843323529">
      <w:bodyDiv w:val="1"/>
      <w:marLeft w:val="0"/>
      <w:marRight w:val="0"/>
      <w:marTop w:val="0"/>
      <w:marBottom w:val="0"/>
      <w:divBdr>
        <w:top w:val="none" w:sz="0" w:space="0" w:color="auto"/>
        <w:left w:val="none" w:sz="0" w:space="0" w:color="auto"/>
        <w:bottom w:val="none" w:sz="0" w:space="0" w:color="auto"/>
        <w:right w:val="none" w:sz="0" w:space="0" w:color="auto"/>
      </w:divBdr>
    </w:div>
    <w:div w:id="851989083">
      <w:bodyDiv w:val="1"/>
      <w:marLeft w:val="0"/>
      <w:marRight w:val="0"/>
      <w:marTop w:val="0"/>
      <w:marBottom w:val="0"/>
      <w:divBdr>
        <w:top w:val="none" w:sz="0" w:space="0" w:color="auto"/>
        <w:left w:val="none" w:sz="0" w:space="0" w:color="auto"/>
        <w:bottom w:val="none" w:sz="0" w:space="0" w:color="auto"/>
        <w:right w:val="none" w:sz="0" w:space="0" w:color="auto"/>
      </w:divBdr>
    </w:div>
    <w:div w:id="869338803">
      <w:bodyDiv w:val="1"/>
      <w:marLeft w:val="0"/>
      <w:marRight w:val="0"/>
      <w:marTop w:val="0"/>
      <w:marBottom w:val="0"/>
      <w:divBdr>
        <w:top w:val="none" w:sz="0" w:space="0" w:color="auto"/>
        <w:left w:val="none" w:sz="0" w:space="0" w:color="auto"/>
        <w:bottom w:val="none" w:sz="0" w:space="0" w:color="auto"/>
        <w:right w:val="none" w:sz="0" w:space="0" w:color="auto"/>
      </w:divBdr>
    </w:div>
    <w:div w:id="928075253">
      <w:bodyDiv w:val="1"/>
      <w:marLeft w:val="0"/>
      <w:marRight w:val="0"/>
      <w:marTop w:val="0"/>
      <w:marBottom w:val="0"/>
      <w:divBdr>
        <w:top w:val="none" w:sz="0" w:space="0" w:color="auto"/>
        <w:left w:val="none" w:sz="0" w:space="0" w:color="auto"/>
        <w:bottom w:val="none" w:sz="0" w:space="0" w:color="auto"/>
        <w:right w:val="none" w:sz="0" w:space="0" w:color="auto"/>
      </w:divBdr>
    </w:div>
    <w:div w:id="939028246">
      <w:bodyDiv w:val="1"/>
      <w:marLeft w:val="0"/>
      <w:marRight w:val="0"/>
      <w:marTop w:val="0"/>
      <w:marBottom w:val="0"/>
      <w:divBdr>
        <w:top w:val="none" w:sz="0" w:space="0" w:color="auto"/>
        <w:left w:val="none" w:sz="0" w:space="0" w:color="auto"/>
        <w:bottom w:val="none" w:sz="0" w:space="0" w:color="auto"/>
        <w:right w:val="none" w:sz="0" w:space="0" w:color="auto"/>
      </w:divBdr>
    </w:div>
    <w:div w:id="978998291">
      <w:bodyDiv w:val="1"/>
      <w:marLeft w:val="0"/>
      <w:marRight w:val="0"/>
      <w:marTop w:val="0"/>
      <w:marBottom w:val="0"/>
      <w:divBdr>
        <w:top w:val="none" w:sz="0" w:space="0" w:color="auto"/>
        <w:left w:val="none" w:sz="0" w:space="0" w:color="auto"/>
        <w:bottom w:val="none" w:sz="0" w:space="0" w:color="auto"/>
        <w:right w:val="none" w:sz="0" w:space="0" w:color="auto"/>
      </w:divBdr>
    </w:div>
    <w:div w:id="1012338474">
      <w:bodyDiv w:val="1"/>
      <w:marLeft w:val="0"/>
      <w:marRight w:val="0"/>
      <w:marTop w:val="0"/>
      <w:marBottom w:val="0"/>
      <w:divBdr>
        <w:top w:val="none" w:sz="0" w:space="0" w:color="auto"/>
        <w:left w:val="none" w:sz="0" w:space="0" w:color="auto"/>
        <w:bottom w:val="none" w:sz="0" w:space="0" w:color="auto"/>
        <w:right w:val="none" w:sz="0" w:space="0" w:color="auto"/>
      </w:divBdr>
    </w:div>
    <w:div w:id="1085683088">
      <w:bodyDiv w:val="1"/>
      <w:marLeft w:val="0"/>
      <w:marRight w:val="0"/>
      <w:marTop w:val="0"/>
      <w:marBottom w:val="0"/>
      <w:divBdr>
        <w:top w:val="none" w:sz="0" w:space="0" w:color="auto"/>
        <w:left w:val="none" w:sz="0" w:space="0" w:color="auto"/>
        <w:bottom w:val="none" w:sz="0" w:space="0" w:color="auto"/>
        <w:right w:val="none" w:sz="0" w:space="0" w:color="auto"/>
      </w:divBdr>
    </w:div>
    <w:div w:id="1128089598">
      <w:bodyDiv w:val="1"/>
      <w:marLeft w:val="0"/>
      <w:marRight w:val="0"/>
      <w:marTop w:val="0"/>
      <w:marBottom w:val="0"/>
      <w:divBdr>
        <w:top w:val="none" w:sz="0" w:space="0" w:color="auto"/>
        <w:left w:val="none" w:sz="0" w:space="0" w:color="auto"/>
        <w:bottom w:val="none" w:sz="0" w:space="0" w:color="auto"/>
        <w:right w:val="none" w:sz="0" w:space="0" w:color="auto"/>
      </w:divBdr>
    </w:div>
    <w:div w:id="1171875491">
      <w:bodyDiv w:val="1"/>
      <w:marLeft w:val="0"/>
      <w:marRight w:val="0"/>
      <w:marTop w:val="0"/>
      <w:marBottom w:val="0"/>
      <w:divBdr>
        <w:top w:val="none" w:sz="0" w:space="0" w:color="auto"/>
        <w:left w:val="none" w:sz="0" w:space="0" w:color="auto"/>
        <w:bottom w:val="none" w:sz="0" w:space="0" w:color="auto"/>
        <w:right w:val="none" w:sz="0" w:space="0" w:color="auto"/>
      </w:divBdr>
    </w:div>
    <w:div w:id="1448812680">
      <w:bodyDiv w:val="1"/>
      <w:marLeft w:val="0"/>
      <w:marRight w:val="0"/>
      <w:marTop w:val="0"/>
      <w:marBottom w:val="0"/>
      <w:divBdr>
        <w:top w:val="none" w:sz="0" w:space="0" w:color="auto"/>
        <w:left w:val="none" w:sz="0" w:space="0" w:color="auto"/>
        <w:bottom w:val="none" w:sz="0" w:space="0" w:color="auto"/>
        <w:right w:val="none" w:sz="0" w:space="0" w:color="auto"/>
      </w:divBdr>
    </w:div>
    <w:div w:id="1464008814">
      <w:bodyDiv w:val="1"/>
      <w:marLeft w:val="0"/>
      <w:marRight w:val="0"/>
      <w:marTop w:val="0"/>
      <w:marBottom w:val="0"/>
      <w:divBdr>
        <w:top w:val="none" w:sz="0" w:space="0" w:color="auto"/>
        <w:left w:val="none" w:sz="0" w:space="0" w:color="auto"/>
        <w:bottom w:val="none" w:sz="0" w:space="0" w:color="auto"/>
        <w:right w:val="none" w:sz="0" w:space="0" w:color="auto"/>
      </w:divBdr>
    </w:div>
    <w:div w:id="1492134294">
      <w:bodyDiv w:val="1"/>
      <w:marLeft w:val="0"/>
      <w:marRight w:val="0"/>
      <w:marTop w:val="0"/>
      <w:marBottom w:val="0"/>
      <w:divBdr>
        <w:top w:val="none" w:sz="0" w:space="0" w:color="auto"/>
        <w:left w:val="none" w:sz="0" w:space="0" w:color="auto"/>
        <w:bottom w:val="none" w:sz="0" w:space="0" w:color="auto"/>
        <w:right w:val="none" w:sz="0" w:space="0" w:color="auto"/>
      </w:divBdr>
    </w:div>
    <w:div w:id="1592616176">
      <w:bodyDiv w:val="1"/>
      <w:marLeft w:val="0"/>
      <w:marRight w:val="0"/>
      <w:marTop w:val="0"/>
      <w:marBottom w:val="0"/>
      <w:divBdr>
        <w:top w:val="none" w:sz="0" w:space="0" w:color="auto"/>
        <w:left w:val="none" w:sz="0" w:space="0" w:color="auto"/>
        <w:bottom w:val="none" w:sz="0" w:space="0" w:color="auto"/>
        <w:right w:val="none" w:sz="0" w:space="0" w:color="auto"/>
      </w:divBdr>
    </w:div>
    <w:div w:id="1669215374">
      <w:bodyDiv w:val="1"/>
      <w:marLeft w:val="0"/>
      <w:marRight w:val="0"/>
      <w:marTop w:val="0"/>
      <w:marBottom w:val="0"/>
      <w:divBdr>
        <w:top w:val="none" w:sz="0" w:space="0" w:color="auto"/>
        <w:left w:val="none" w:sz="0" w:space="0" w:color="auto"/>
        <w:bottom w:val="none" w:sz="0" w:space="0" w:color="auto"/>
        <w:right w:val="none" w:sz="0" w:space="0" w:color="auto"/>
      </w:divBdr>
    </w:div>
    <w:div w:id="18358798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435">
          <w:marLeft w:val="0"/>
          <w:marRight w:val="0"/>
          <w:marTop w:val="0"/>
          <w:marBottom w:val="0"/>
          <w:divBdr>
            <w:top w:val="none" w:sz="0" w:space="0" w:color="auto"/>
            <w:left w:val="none" w:sz="0" w:space="0" w:color="auto"/>
            <w:bottom w:val="none" w:sz="0" w:space="0" w:color="auto"/>
            <w:right w:val="none" w:sz="0" w:space="0" w:color="auto"/>
          </w:divBdr>
        </w:div>
        <w:div w:id="84155580">
          <w:marLeft w:val="0"/>
          <w:marRight w:val="0"/>
          <w:marTop w:val="0"/>
          <w:marBottom w:val="0"/>
          <w:divBdr>
            <w:top w:val="none" w:sz="0" w:space="0" w:color="auto"/>
            <w:left w:val="none" w:sz="0" w:space="0" w:color="auto"/>
            <w:bottom w:val="none" w:sz="0" w:space="0" w:color="auto"/>
            <w:right w:val="none" w:sz="0" w:space="0" w:color="auto"/>
          </w:divBdr>
        </w:div>
        <w:div w:id="1534151605">
          <w:marLeft w:val="0"/>
          <w:marRight w:val="0"/>
          <w:marTop w:val="0"/>
          <w:marBottom w:val="0"/>
          <w:divBdr>
            <w:top w:val="none" w:sz="0" w:space="0" w:color="auto"/>
            <w:left w:val="none" w:sz="0" w:space="0" w:color="auto"/>
            <w:bottom w:val="none" w:sz="0" w:space="0" w:color="auto"/>
            <w:right w:val="none" w:sz="0" w:space="0" w:color="auto"/>
          </w:divBdr>
        </w:div>
      </w:divsChild>
    </w:div>
    <w:div w:id="1898512519">
      <w:bodyDiv w:val="1"/>
      <w:marLeft w:val="0"/>
      <w:marRight w:val="0"/>
      <w:marTop w:val="0"/>
      <w:marBottom w:val="0"/>
      <w:divBdr>
        <w:top w:val="none" w:sz="0" w:space="0" w:color="auto"/>
        <w:left w:val="none" w:sz="0" w:space="0" w:color="auto"/>
        <w:bottom w:val="none" w:sz="0" w:space="0" w:color="auto"/>
        <w:right w:val="none" w:sz="0" w:space="0" w:color="auto"/>
      </w:divBdr>
    </w:div>
    <w:div w:id="1921135984">
      <w:bodyDiv w:val="1"/>
      <w:marLeft w:val="0"/>
      <w:marRight w:val="0"/>
      <w:marTop w:val="0"/>
      <w:marBottom w:val="0"/>
      <w:divBdr>
        <w:top w:val="none" w:sz="0" w:space="0" w:color="auto"/>
        <w:left w:val="none" w:sz="0" w:space="0" w:color="auto"/>
        <w:bottom w:val="none" w:sz="0" w:space="0" w:color="auto"/>
        <w:right w:val="none" w:sz="0" w:space="0" w:color="auto"/>
      </w:divBdr>
    </w:div>
    <w:div w:id="1958365949">
      <w:bodyDiv w:val="1"/>
      <w:marLeft w:val="0"/>
      <w:marRight w:val="0"/>
      <w:marTop w:val="0"/>
      <w:marBottom w:val="0"/>
      <w:divBdr>
        <w:top w:val="none" w:sz="0" w:space="0" w:color="auto"/>
        <w:left w:val="none" w:sz="0" w:space="0" w:color="auto"/>
        <w:bottom w:val="none" w:sz="0" w:space="0" w:color="auto"/>
        <w:right w:val="none" w:sz="0" w:space="0" w:color="auto"/>
      </w:divBdr>
      <w:divsChild>
        <w:div w:id="2065447521">
          <w:marLeft w:val="0"/>
          <w:marRight w:val="0"/>
          <w:marTop w:val="0"/>
          <w:marBottom w:val="0"/>
          <w:divBdr>
            <w:top w:val="none" w:sz="0" w:space="0" w:color="auto"/>
            <w:left w:val="none" w:sz="0" w:space="0" w:color="auto"/>
            <w:bottom w:val="none" w:sz="0" w:space="0" w:color="auto"/>
            <w:right w:val="none" w:sz="0" w:space="0" w:color="auto"/>
          </w:divBdr>
        </w:div>
        <w:div w:id="835611011">
          <w:marLeft w:val="0"/>
          <w:marRight w:val="0"/>
          <w:marTop w:val="0"/>
          <w:marBottom w:val="0"/>
          <w:divBdr>
            <w:top w:val="none" w:sz="0" w:space="0" w:color="auto"/>
            <w:left w:val="none" w:sz="0" w:space="0" w:color="auto"/>
            <w:bottom w:val="none" w:sz="0" w:space="0" w:color="auto"/>
            <w:right w:val="none" w:sz="0" w:space="0" w:color="auto"/>
          </w:divBdr>
        </w:div>
      </w:divsChild>
    </w:div>
    <w:div w:id="2003966889">
      <w:bodyDiv w:val="1"/>
      <w:marLeft w:val="0"/>
      <w:marRight w:val="0"/>
      <w:marTop w:val="0"/>
      <w:marBottom w:val="0"/>
      <w:divBdr>
        <w:top w:val="none" w:sz="0" w:space="0" w:color="auto"/>
        <w:left w:val="none" w:sz="0" w:space="0" w:color="auto"/>
        <w:bottom w:val="none" w:sz="0" w:space="0" w:color="auto"/>
        <w:right w:val="none" w:sz="0" w:space="0" w:color="auto"/>
      </w:divBdr>
    </w:div>
    <w:div w:id="2128812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d.world/" TargetMode="External"/><Relationship Id="rId13" Type="http://schemas.openxmlformats.org/officeDocument/2006/relationships/hyperlink" Target="http://www.iddri.org/Publications/Les-nouveaux-indicateurs-de-richesse-dans-la-gouvernance-europeenne"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ds.ac.uk/publication/review-of-impact-and-effectiveness-of-transparency-and-accountability-initiatives" TargetMode="External"/><Relationship Id="rId17" Type="http://schemas.openxmlformats.org/officeDocument/2006/relationships/hyperlink" Target="https://unstats.un.org/sdgs/indicators/database/?indicator=10.1.1" TargetMode="External"/><Relationship Id="rId2" Type="http://schemas.openxmlformats.org/officeDocument/2006/relationships/numbering" Target="numbering.xml"/><Relationship Id="rId16" Type="http://schemas.openxmlformats.org/officeDocument/2006/relationships/hyperlink" Target="https://www.transparency.org/whatwedo/publication/methodological_note_for_sdg_shadow_reporting_questionna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post2015/transformingourworld" TargetMode="External"/><Relationship Id="rId5" Type="http://schemas.openxmlformats.org/officeDocument/2006/relationships/webSettings" Target="webSettings.xml"/><Relationship Id="rId15" Type="http://schemas.openxmlformats.org/officeDocument/2006/relationships/hyperlink" Target="https://www.transparency.org/whatwedo/publication/methodological_note_for_sdg_shadow_reporting_questionnaire" TargetMode="External"/><Relationship Id="rId10" Type="http://schemas.openxmlformats.org/officeDocument/2006/relationships/hyperlink" Target="http://piketty.pse.ens.fr/files/PikettySaez2014Science.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ethicsandinternationalaffairs.org/2014/eliminating-extreme-inequality-a-sustainable-development-goal-2015-2030/" TargetMode="External"/><Relationship Id="rId14" Type="http://schemas.openxmlformats.org/officeDocument/2006/relationships/hyperlink" Target="http://sdgindex.org/assets/files/sdg_index_and_dashboards_co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BA1F-169E-491E-887C-17DF63C2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2917</Words>
  <Characters>14707</Characters>
  <Application>Microsoft Office Word</Application>
  <DocSecurity>0</DocSecurity>
  <Lines>258</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UCL</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Hough</dc:creator>
  <cp:lastModifiedBy>Administrateur</cp:lastModifiedBy>
  <cp:revision>2</cp:revision>
  <cp:lastPrinted>2016-09-20T09:58:00Z</cp:lastPrinted>
  <dcterms:created xsi:type="dcterms:W3CDTF">2018-03-12T17:04:00Z</dcterms:created>
  <dcterms:modified xsi:type="dcterms:W3CDTF">2018-03-12T17:04:00Z</dcterms:modified>
</cp:coreProperties>
</file>